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Teviot Valley Rest Home Limited - Teviot Valley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Teviot Valley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Teviot Valley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2021</w:t>
      </w:r>
      <w:bookmarkEnd w:id="7"/>
      <w:r w:rsidRPr="009418D4">
        <w:rPr>
          <w:rFonts w:cs="Arial"/>
        </w:rPr>
        <w:tab/>
        <w:t xml:space="preserve">End date: </w:t>
      </w:r>
      <w:bookmarkStart w:id="8" w:name="AuditEndDate"/>
      <w:r w:rsidR="00A4268A">
        <w:rPr>
          <w:rFonts w:cs="Arial"/>
        </w:rPr>
        <w:t>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Teviot Valley Rest Home provides care for up to 14 residents at rest home level care. On the day of the audit there were 12 residents. The nurse manager is a registered nurse with management experience and has been in her role since November 2019. The nurse manager is supported by a board of trustees, two registered nurses, and a team of experienced staff.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 xml:space="preserve">The service has addressed two of the three shortfalls from the previous audit around resident progression towards meeting goals and medication room temperatures. The continues to be a shortfall around education. </w:t>
      </w:r>
    </w:p>
    <w:p w:rsidRPr="00A4268A">
      <w:pPr>
        <w:spacing w:before="240" w:line="276" w:lineRule="auto"/>
        <w:rPr>
          <w:rFonts w:eastAsia="Calibri"/>
        </w:rPr>
      </w:pPr>
      <w:r w:rsidRPr="00A4268A">
        <w:rPr>
          <w:rFonts w:eastAsia="Calibri"/>
        </w:rPr>
        <w:t xml:space="preserve">This audit has identified shortfalls around the quality system, monitoring charts, and dietitian input.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nurse manager is responsible for the day-to-day operations. Quality goals are documented for the service with evidence of regular reviews. A quality and risk management programme is documented.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There is a documented education plan which includes competencies. Residents, relatives, and staff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care plan documentation. InterRAI assessments and care plans are completed within required timeframes. Planned activities are appropriate to the resident’s assessed needs and abilities. Residents and families advised satisfaction with the activities programme. The service uses an electronic medication management system. All food and baking is freshly prepared and cooked in the well-appointed kitchen.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Teviot Valley Rest home have been issued with a Form 12 in place of a building warrant of fitness due to Covid lockdowns. Preventative and reactive maintenance occurs. The facility provides easy access to all communal areas, and outdoor areas for residents using mobility aids. The outdoor garden and decked areas are well maintained and provide seating and shade for residents and relatives to enjoy.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Teviot Valley Rest Home continues to be restraint free. There are documented policies and procedures in place should this be required. There were no residents using enablers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service continues to implement their infection surveillance programme. Infection control issues are discussed at the quality/staff meetings. The infection control programme is linked with the quality programme. The recent outbreak was well managed. The service is working towards meeting the recommendations of the Covid-19 preparedness audit.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The nurse manager reported that a record of all complaints, both verbal and written, is maintained by the manager on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complaint sent to the board of trustees from the DHB with recommendations around palliative care, record keeping and communications. This audit identified no concerns around documentation in resident files, and the manager and general practitioner (GP) both described the positive changes around communications with the GP practice. Relatives interviewed were satisfied with the timeliness of communications around changes or incidents, however, there had been no education around palliative cares at the time of the audit. This was arranged with the Hospice on the day of the audit. Documentation and correspondence reflected evidence of responding to the complaints in a timely manner. The nurse manager is currently working towards implementing the recommendations identified. Residents and relatives advised that they are aware of the complaints procedure and how to access forms, and they all felt comfortable discussing concerns with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Four residents interviewed stated that they were welcomed on entry and were given time and explanation about the services and procedures. The nurse manager and registered nurses are available to residents and relatives and they promote an open-door policy. Incident forms reviewed evidenced that relatives had been notified on all occasions. Two relatives interviewed advised that they are notified of incidents and when residents’ health status changes promptly.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access to the interpreter service through Southern District Health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two caregivers, the cook and the diversional therapist interviewed fluently described instances where relatives would be notified. Newsletters are printed four to six weekly and provided to relatives to keep them updated of events and activities around the facility. The relatives interviewed felt communication was maintained throughout the Covid lockdown level when no visiting was permitted.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Teviot Rest Home Ltd (owner/operating company) comprises of a board of four trustees who meet monthly with the nurse manager. The Teviot Valley Rest Home Incorporated (charitable society) are responsible for governance, operations, fundraising and improvements. A report from the nurse manager is discussed at each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provides residential services for up to 14 residents requiring rest home level care. On the day of the audit, there were 12 residents. All residents were under the age-related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overseen by an experienced nurse manager (registered nurse), who has been in the role since November 2019. The nurse manager has nursing and management experience. The nurse manager is supported by the Board of Trustees and two other registered nurses (RN) who work on a part time basis, however at the time of the audit, one RN was on extended leave, and the other was performing administration duties at the medical centre due to a non-work-related injury. The care staff are long-standing and experienced. The nurse manager also has peer support from a manager of a similar sized aged care facility. The manager was the registered nurse available to the facility at the time of the audit. The district nurses have syringe driver competencies should a resident require one. The PRIME nurse attends to afterhours calls, however, if not available the manager attends to assist the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quality and risk management system that reflects the organisation's values, mission and philosophy and provides goals for measurement of achievement against key areas of the business.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attends the Central Otago ARC meetings regularly. She has attended education sessions held by New Zealand Aged Care Association and has attended infection control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plan is in place which includes the values, mission, and philosophy of the service. Objectives for the year include improving the activities programme and focusing on providing a high standard of care for all residents. The combined quality, staff, health and safety and infection control meetings are generally held monthly (when Covid-19 restrictions allow). The meeting minutes are templated to ensure no topic is missed. The minutes of the meetings document in depth discussions held around trending and analysis of infections, and incidents. A range of topics are covered at meetings including (but not limited to), complaints, health and safety, quality goals, staffing, and occupancy. Staff can discuss concerns and provide suggestions at the meetings. There were two resident meetings held in 2020, however there have been no resident meetings held to date in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current incidents and infections and interventions are discussed at daily handovers between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occurred according to the schedule in 2020, however, not all internal audits have been completed according to schedule in 2021, and there was no documented evidence of corrective actions completed to address non-conformities.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survey completed in 2020 due to covid19. The 2019 results there was overall satisfaction across the service with a corrective action implemented around resident’s knowledge of the complaint process. The 2021 survey evidenced satisfaction around resident’s privacy, laundry and cleaning, food services, and the staff. Low satisfaction was identified around activities resulting in a quality goal around improving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and infection reports provided and these were displayed in the staffroom. There is a hazard management, health and safety, and risk management programme in place. The hazard register is reviewed annually, next due in February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according to individual needs; these are documented in the long-term care plan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reports aggregated figures monthly to the quality/staff meeting. Minutes of the combined quality/staff meetings reflect a discussion of incident statistics and analysis. The caregivers interviewed could discuss incident reporting and confirmed data is discussed at the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Paper-based incident forms are completed by staff, the resident is reviewed by the RN or most senior caregiver, and the nurse manager reviews and signs off once all actions have been completed. Ten incident forms reviewed evidenced registered nurse follow-up or referral to the GP or PRIME nurse after hours service, where appropriate, however, there is no evidence of neurological observations being completed for unwitnessed falls or where the resident has hit their head (link 1.3.6.1). All incident reports were fully completed and documented opportunities to minimise risks (where possible). Relative notification was documented on each report to indicate relatives had been notified.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nurse manager and registered nurse confirmed that there is an awareness of the requirement to notify relevant authorities in relation to essential notifications. There has been no requirement to complete section 31 forms. The recent outbreak was reported to the public health team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(one registered nurse, a cook the activity coordinator and two caregivers).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documented, however not all compulsory education sessions have been held. This is an ongoing shortfall identified at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confirmed participation in the CareerForce training programme. Currently there are six permanent caregivers and two part time caregiver/tea cooks. All caregivers are encouraged to complete New Zealand Qualification Authority (NZQA) qualifications on health and wellbeing through the CareerForce programme. Currently three caregivers have completed level 4, one has completed level 3 and one has completed level 2. A further three (including the activities coordinator) are working towards completing level 2 and one is completing level 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that includes annual medication competency for staff administering medications, manual handling, infection control, first aid and fire safety.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and one other registered nurse are trained in interRAI. There is evidence in the registered nurse files of attendance at the DHB external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six caregivers and the cook have a current first aid certificate. The activity coordinator is recently employed and will be booked for the next available session.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Teviot Valley Rest Home has a documented rationale for determining staffing levels and skill mixes for safe service delivery. There is a roster that provides sufficient and appropriate coverage for the effective delivery of care and support. The nurse manager works five days a week. The PRIME nurse from the medical centre also provides oversight when a registered nurse is not available and provides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caregiver is rostered for the morning from 6.45 am to 3.15 pm and afternoon shifts from 3 pm to 11 pm and nightshift from 11 pm to 7 am. A caregiver works from 4.30 pm to 7.30 pm and helps with the tea meal and personal cares. An extra caregiver is rostered on weekends from 8 am to 1 pm. Caregivers work four on four off rosters covering all shifts. The activity coordinator works from 8 am to 4 pm covering housekeeping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caregivers, residents, and relatives confirmed that there are sufficient staff to meet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has implemented an electronic medication management system. The supplying pharmacy couriers all medicines in blister packs for regular and ‘as required’ medications. Medications were checked and signed on arrival from the pharmacy by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are assessed as medication competent to administer medication. The district nursing service takes care of syringe drivers (when required). Standing orders were not in use. The medication fridge temperatures have been monitored daily and temperatures were within the acceptable range. An air conditioning unit is available to be used when temperatures are close to exceeding 25 degrees. Room temperatures have been recorded daily and have remained below 25 degrees. The previous shortfall around medication room temperatures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files were reviewed. Medication reviews were completed by the GP three monthly. ‘As required’ medications were prescribed correctly with indications for use documented. Medications are stored securely. There was one resident who was self-medicating on the day of the audit, who had a competency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vaccines stored on site. There were no residents self-administering medications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centrally located kitchen and all food is cooked on site. There is a food services manual in place to guide staff. There are two cooks who have completed food safety training in July 2021. Food is served from the main kitchen to the dining area adjacent to it. A current food control plan is in place expiring in November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however, the menu has not been reviewed by a dietitian in the last two years, this was arranged on the day of the audit. Residents have had a nutritional profile developed on admission which identifies dietary requirements and likes and dislikes. The cook interviewed was aware of changes in resident’s nutritional needs and was knowledgeable around the current nutritional requirements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satisfaction survey was completed and showed a high level of satisfaction with food services for the last two years. Regular audits of the kitchen fridge/freezer temperatures and food temperatures were undertaken and documented. All food is stored appropriately. There is special equipment available for residents if required. Residents and relatives interviewed reported satisfaction with food services and baking.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 registered nurse and caregivers follow the plan and report progress against the plan each shift. Discussions with relatives confirmed they are notified promptly of any changes to their relative’s health. Short term care plans of care are used for short term/acute changes in care. These were in place for wounds and infections in the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a surgical wound; on the day of the audit, and the district nurses were performing wound cares. There are wound charts which include assessments, plans and evaluations to be completed. Adequate dressing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sighted for weight and vital signs, blood sugar levels, pain, challenging behaviour, food, and fluid charts, however, these were not always completed as instructed on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been in the role for four months. The activities coordinator performs activities in the afternoons across Monday to Friday and is currently working towards completed NZQA level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care plan has an activities section developed within the care plan and reviewed at each care plan review. The nurse manager completes the initial assessments, and the activities coordinator talks to residents about what they are interested in and what is in the plan that might interest them. The activities coordinator uses exception reporting in the progress notes. Evaluations are completed by the nurse manager in consultation with the activity’s coordinator, other staff, the resident and family/whānau. Attendance records are maintained. Newsletters are provided to residents and relatives four to six weekly to keep relatives who are not local in touch with what’s been happening around the facility, and upcoming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activity plan that carries over from week to week; this means the programme is flexible and can respond to the needs of the residents. This process was confirmed by staff, residents and family and residents and family find this responsive and positive. Prior to lockdown, the residents were performing a virtual walk to Alexander, they were walking around the grounds and up to the shops. Distances walked were recorded and mapped on the virtual walk with accompanying photographs of the places the residents had reached. This was paused due to Covid lockdown restrictions. Activities include a wide range of topics, including science experiments, baking, flower arranging, group games, entertainers, and local speakers. The activities coordinator stated at interview that residents are asked frequently to give verbal feedback and asked for suggestions, however, there have been no resident meetings held since March 2020 (link 1.2.3.6). Residents are all actively encouraged to maintain their community and family links, and this was confirmed by relatives and residents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Celebrations are held around special theme days and resident birthdays. A Samoan cultural day was held, and church services are held regularly. The residents and relatives spoke positively around the range of activities and talked about the science experiments and making banana splits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clinical manager or registered nurse within three weeks of admission and long-term care plans developed. Long-term care plans have been evaluated by the clinical manager or registered nurse six monthly, using the interRAI tool or earlier for any health changes for files reviewed. The GP reviews the residents at least three-monthly or earlier if required. Ongoing nursing evaluations occur as indicated and are documented within the progress notes or the care plan. The acute plans of care have been reviewed and evaluated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issued with a Form 12 in place of the building warrant of fitness. This certificate declares the facility to be safe, however not all checks were able to be completed due to Covid-19 lockdown periods in 2020. </w:t>
            </w:r>
          </w:p>
          <w:p w:rsidR="00EB7645" w:rsidRPr="00BE00C7" w:rsidP="00BE00C7">
            <w:pPr>
              <w:pStyle w:val="OutcomeDescription"/>
              <w:spacing w:before="120" w:after="120"/>
              <w:rPr>
                <w:rFonts w:cs="Arial"/>
                <w:b w:val="0"/>
                <w:lang w:eastAsia="en-NZ"/>
              </w:rPr>
            </w:pPr>
            <w:r w:rsidRPr="00BE00C7">
              <w:rPr>
                <w:rFonts w:cs="Arial"/>
                <w:b w:val="0"/>
                <w:lang w:eastAsia="en-NZ"/>
              </w:rPr>
              <w:t>A maintenance book is in place and all breakages are currently reported to the nurse manager, who reports this to the maintenance man. There are essential contractors available 24/7. Hot water temperatures have been monitored periodically, however not on a regular basis and there was no documented evidence of corrective actions completed when the temperatures were out of the recommended ranges (link 1.2.3.8). The issues were added to the hazard register during the audit, as there is a long-standing problem with one of the tempering valves. Medical equipment is tagged, tested, and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internally and externally are easily accessible to residents and relatives requiring mobility aids. External areas are well maintained, and seating and shade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Teviot Valley continue to implement their infection surveillance programme. Individual infection forms were completed for all infections. Infections were included on a monthly register and a monthly report and graphs were completed by the infection control coordinator (currently the nurse manager). Infection control (IC) issues were discussed at the combined quality and staff meetings. The IC programme is linked with the quality programme. In-service education is provided annually and in toolbox talks when required. There was one resident who identified as positive for the RSV virus. This was dealt with appropriately, well documented, and then reported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working alongside the infection control nurse specialist for Aged care to meet the recommendations identified at the Covid-19 DHB audit. Improvements since the last audit include the provision of an infection control cupboard where adequate stores of personal protective equipment were sighted, and there were kits made up for staff to access if a resident has an infection and is required to be isolated. Staff interviewed were knowledgeable around isolation precautions. Hospital grade wipes are used to wipe equipment such as the blood glucose monitor between uses. Staff described the use of aprons and gloves and procedures when changing roles from housekeeping to activities for example. Foot pedalled bins have been purchased. Hand gel is feely available throughout the facility. Personal protective equipment including medical grade gloves, aprons, eye goggles and visors were sighted. The service is considering the installation of a sanitiser, and extra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are required to ring the door bell and wait to be escorted to their resident by a member of staff. All visitors and contractors are required to sign in on entry to the facility for contact tracing purposes, wear masks and use the hand sanitiser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that is applicable to the service. The facility manager is the restraint coordinator. There are currently no residents using restraint or enablers at Teviot Valley.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however, restraint/enabler and challenging behaviour training has not been provided within the last two years (link 1.2.7.5). Caregivers interviewed could describe the differences between restraint and enablers and procedures around these.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5"/>
        <w:gridCol w:w="1280"/>
        <w:gridCol w:w="5201"/>
        <w:gridCol w:w="3948"/>
        <w:gridCol w:w="14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Results of internal audits are discussed at meetings. The 2020 internal audits were completed as scheduled; however, this had not occurred in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as per schedule in 2020 but have not been held in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Internal audits have not been completed as scheduled in 2021, including food services, safety, laundry, cleaning, medication, moving and handling/lifting, restraint, challenging behaviour, privacy of information, resident recreation, and code of rights.</w:t>
            </w:r>
          </w:p>
          <w:p w:rsidR="00EB7645" w:rsidRPr="00BE00C7" w:rsidP="00BE00C7">
            <w:pPr>
              <w:pStyle w:val="OutcomeDescription"/>
              <w:spacing w:before="120" w:after="120"/>
              <w:rPr>
                <w:rFonts w:cs="Arial"/>
                <w:b w:val="0"/>
                <w:lang w:eastAsia="en-NZ"/>
              </w:rPr>
            </w:pPr>
            <w:r w:rsidRPr="00BE00C7">
              <w:rPr>
                <w:rFonts w:cs="Arial"/>
                <w:b w:val="0"/>
                <w:lang w:eastAsia="en-NZ"/>
              </w:rPr>
              <w:t>ii) Resident meetings have not been held since March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internal audits and hot water monitoring occur according to schedules.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Hold resident meetings as scheduled at regular intervals throughout the year.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templated corrective action forms in the internal audit folder, however, there were no documented corrective actions completed for internal audits including hot water recordings which identified non-conformities. Hot water temperatures have not always been recorded as occurring monthly as scheduled.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of corrective actions for any non-conformities identified on completion of internal audits or for hot water temperatures recorded when they were outside of the expected ranges.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corrective actions are documented for all non-conformities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 was completed in 2020 and included extra education sessions held as required around Covid-19. Education sessions have been held in 2021, including elder abuse, food safety, medication management, chemical safety, and continence management. Infection control education has been held with the aged care infection control nurse specialist, however, not all sessions have been held as scheduled.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sessions around sexuality and intimacy, resident code of rights, restraint, palliative care, health and safety/hazards, open disclosure and complaints have not been held according to schedule. The risk rating has been increased from low to moderate as the shortfall from the previous audit is not yet closed out.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compulsory education sessions occur as scheduled.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cooks employed at Teviot Valley, who have had food safety training. Each work on a four on/four off roster. Currently the cooks document all baking, and meals provided to residents, which includes a range of fish and meat, and a range of seasonal vegetables, however, the menu has not been reviewed by a dietitian in the last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not been reviewed by a dietitian for more than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menu is reviewed by a dietitian at least two yearly to evidence nutritional requirements are being met.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monitoring charts available for use, however, these were not always completed as instructed in the care plan interventions.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Monitoring charts were not completed as instructed by the GP or RN care plan for weekly BP following medication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Weekly weights were not recorded for a resident losing weight as care plan interventions instructed.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Daily observations were not fully documented as instructed by the short-term care plan for a resident with an infection. </w:t>
            </w:r>
          </w:p>
          <w:p w:rsidR="00EB7645" w:rsidRPr="00BE00C7" w:rsidP="00BE00C7">
            <w:pPr>
              <w:pStyle w:val="OutcomeDescription"/>
              <w:spacing w:before="120" w:after="120"/>
              <w:rPr>
                <w:rFonts w:cs="Arial"/>
                <w:b w:val="0"/>
                <w:lang w:eastAsia="en-NZ"/>
              </w:rPr>
            </w:pPr>
            <w:r w:rsidRPr="00BE00C7">
              <w:rPr>
                <w:rFonts w:cs="Arial"/>
                <w:b w:val="0"/>
                <w:lang w:eastAsia="en-NZ"/>
              </w:rPr>
              <w:t>iv)  There was no evidence of neurological observations completed for five unwitnessed falls, two of which had identified that the resident had hit their head (these residents had been reviewed by the PRIME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i-iv) Ensure all monitoring charts are completed as per care plan instructions.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Teviot Valley Rest Home Limited - Teviot Valley Rest Home</w:t>
    </w:r>
    <w:bookmarkEnd w:id="58"/>
    <w:r>
      <w:rPr>
        <w:rFonts w:cs="Arial"/>
        <w:sz w:val="16"/>
        <w:szCs w:val="20"/>
      </w:rPr>
      <w:tab/>
      <w:t xml:space="preserve">Date of Audit: </w:t>
    </w:r>
    <w:bookmarkStart w:id="59" w:name="AuditStartDate1"/>
    <w:r>
      <w:rPr>
        <w:rFonts w:cs="Arial"/>
        <w:sz w:val="16"/>
        <w:szCs w:val="20"/>
      </w:rPr>
      <w:t>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