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Little Sisters of The Poor Aged Care New Zealand Limited - Sacred Heart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Little Sisters of The Poor Aged Care New Zealand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Sacred Heart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November 2021</w:t>
      </w:r>
      <w:bookmarkEnd w:id="7"/>
      <w:r w:rsidRPr="009418D4">
        <w:rPr>
          <w:rFonts w:cs="Arial"/>
        </w:rPr>
        <w:tab/>
        <w:t xml:space="preserve">End date: </w:t>
      </w:r>
      <w:bookmarkStart w:id="8" w:name="AuditEndDate"/>
      <w:r w:rsidR="00A4268A">
        <w:rPr>
          <w:rFonts w:cs="Arial"/>
        </w:rPr>
        <w:t>3 November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Sacred Heart Home and Hospital is certified to provide rest home and hospital – geriatric and medical level care.  The service is governed by the Little Sisters of the Poor NZ Trust Board and the Christian philosophy is embedded in the business plan.  The service provides care for up to 53 residents with 50 residents on the day of audit. </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 Standards and the district health board contract.  The audit process included a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 xml:space="preserve">Sacred Heart Home and Hospital is managed by a Mother Superior, she is supported by a clinical nurse manager and an assistant manager.  The service is overseen by a chief executive officer who reports to a Board of Directors.  The management team receives support from Sisters living at Sacred Heart, administration staff, registered nurses and care staff.  The residents, relatives and the GP interviewed all spoke positively about the care and support provided.  </w:t>
      </w:r>
    </w:p>
    <w:p w:rsidRPr="00A4268A">
      <w:pPr>
        <w:spacing w:before="240" w:line="276" w:lineRule="auto"/>
        <w:rPr>
          <w:rFonts w:eastAsia="Calibri"/>
        </w:rPr>
      </w:pPr>
      <w:r w:rsidRPr="00A4268A">
        <w:rPr>
          <w:rFonts w:eastAsia="Calibri"/>
        </w:rPr>
        <w:t>Residents and families interviewed were complimentary of the service that they receive.  Staff turnover has been low for care workers.</w:t>
      </w:r>
    </w:p>
    <w:p w:rsidRPr="00A4268A">
      <w:pPr>
        <w:spacing w:before="240" w:line="276" w:lineRule="auto"/>
        <w:rPr>
          <w:rFonts w:eastAsia="Calibri"/>
        </w:rPr>
      </w:pPr>
      <w:r w:rsidRPr="00A4268A">
        <w:rPr>
          <w:rFonts w:eastAsia="Calibri"/>
        </w:rPr>
        <w:t xml:space="preserve">This audit has identified shortfalls around quality data, staff appraisals and medication storage.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Discussions with residents and relatives confirmed that residents and where appropriate their families, are involved in care decisions.  Regular contact is maintained with families including when a resident is involved in an incident or has a change in their current health.  There is an established system implemented for the management of complaints.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is regularly reviewed.  An established quality and risk system is in place.  Quality data is collated for accident/incidents, infection control, internal audits, concerns and complaints.  Incidents are appropriately managed.   </w:t>
      </w:r>
    </w:p>
    <w:p w:rsidRPr="00A4268A">
      <w:pPr>
        <w:spacing w:before="240" w:line="276" w:lineRule="auto"/>
        <w:rPr>
          <w:rFonts w:eastAsia="Calibri"/>
        </w:rPr>
      </w:pPr>
      <w:r w:rsidRPr="00A4268A">
        <w:rPr>
          <w:rFonts w:eastAsia="Calibri"/>
        </w:rPr>
        <w:t xml:space="preserve">There are human resources policies including recruitment, job descriptions, selection, orientation and staff training and development.  The service has a training programme that provides staff with relevant information for safe work practices.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assesses, plans, reviews and evaluates residents' needs, outcomes and goals with the resident and/or family/whānau input and are responsible for each stage of service provision.  Care plans demonstrate service integration and were evaluated at least six monthly.  Resident files are electronic and included medical notes by the general practitioner, and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 and medication competent caregivers are responsible for administration of medicines.  All staff are responsible for medication administration complete annual education and medication competencies.  The medicine charts reviewed met prescribing requirements and were reviewed at least three monthly by the general practitioner.     </w:t>
      </w:r>
    </w:p>
    <w:p w:rsidRPr="00A4268A" w:rsidP="00621629">
      <w:pPr>
        <w:spacing w:before="240" w:line="276" w:lineRule="auto"/>
        <w:rPr>
          <w:rFonts w:eastAsia="Calibri"/>
        </w:rPr>
      </w:pPr>
      <w:r w:rsidRPr="00A4268A">
        <w:rPr>
          <w:rFonts w:eastAsia="Calibri"/>
        </w:rPr>
        <w:t xml:space="preserve">The activity team provide and implement an interesting and varied integrated activity programme.  The programme includes community visitors and outings, entertainment and activities that meet the individual recreational, physical, cultural and cognitive abilities and resident preferences.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form 12a has been issued by the Dunedin City Council in place of a Building Warrant of Fitness on 8 April 2021 and is valid for 12 months.  There is a planned and reactive maintenance programme in place.  There are documented processes for the management of waste and hazardous substances in place.  Residents can freely mobilise within the communal areas with safe access to the outdoors,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Sacred Heart has policies and procedures on safe restraint use and enablers.  A registered nurse is the restraint coordinator.  On the day of the audit, there were six residents using restraint and four residents using enablers.  Staff receive training around restraint and managing challenging behaviours.  Assessment and evaluation processes are implemented, and the service continually reviews restraint to minimise use where possible.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surveillance policy describes and outlines the purpose and methodology for the surveillance of infections.  The infection control responsibilities are shared between a registered nurse and the clinical nurse manager.  Infection control data is collated monthly and outcomes and actions are discussed at the quality, and staff meetings.  If there is an emergent issue, it is acted upon in a timely manner.  The surveillance of infection data assists in evaluating compliance with infection control practices.  There have been no outbreaks since the previous audit.</w:t>
      </w:r>
    </w:p>
    <w:p w:rsidRPr="00A4268A">
      <w:pPr>
        <w:spacing w:before="240" w:line="276" w:lineRule="auto"/>
        <w:rPr>
          <w:rFonts w:eastAsia="Calibri"/>
        </w:rPr>
      </w:pPr>
      <w:r w:rsidRPr="00A4268A">
        <w:rPr>
          <w:rFonts w:eastAsia="Calibri"/>
        </w:rPr>
        <w:t xml:space="preserve">Adequate supplies of personal protective equipment were sighted.  All visitors and contractors are required to complete wellness declarations and complete contract tracing requirements.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35"/>
        <w:gridCol w:w="1280"/>
        <w:gridCol w:w="100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policy/procedure in place and the complaints process is provided to residents and relatives on entry to the service.  Complaints forms are available to residents and relatives near the entrance.  A record of all complaints is maintained in the complaint register.  The facility manager (mother superior) leads the investigation into complaints with support from the clinical nurse manager and assistant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complaints from 2020 and two complaints from 2021 (year-to-date) were reviewed and reflected evidence of responding to the complaints in a timely manner with appropriate follow-up actions taken.  All complaints/concerns have been managed in line with Right 10 of the Code.  A review of complaints documentation evidenced resolution of the complaints to the satisfaction of the complainants.  Residents and family members advised that they are aware of the complaint’s procedure.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(four caregivers, two registered nurses, two activities coordinators, one HR advisor, one maintenance and one chef) confirmed discussions are held around concerns, complaints and compliments at staff meetings, which was evident in quality and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complaints received from external providers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three relatives (one hospital, two rest home) and five residents (three hospital, two rest home) confirmed they were welcomed on entry and were given time and explanation about services and procedures.  Relatives interviewed also stated they are informed of changes in health status and incidents/accidents.  This was confirmed on 12 incident forms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The service has policies and procedures available for access to interpreter services for residents (and their family).  If residents or family/whānau have difficulty with written or spoken English, then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Sacred Heart provides residential services for up to 53 residents requiring rest home and hospital – geriatric and medical level care.  On the day of the audit there were 50 residents (34 hospital and 16 rest home), all under the age-related residential care contract.  There are 24 dual-purpose beds, suitable for either rest home or hospital level of care.  </w:t>
            </w:r>
          </w:p>
          <w:p w:rsidR="00EB7645" w:rsidRPr="00BE00C7" w:rsidP="00BE00C7">
            <w:pPr>
              <w:pStyle w:val="OutcomeDescription"/>
              <w:spacing w:before="120" w:after="120"/>
              <w:rPr>
                <w:rFonts w:cs="Arial"/>
                <w:b w:val="0"/>
                <w:lang w:eastAsia="en-NZ"/>
              </w:rPr>
            </w:pPr>
            <w:r w:rsidRPr="00BE00C7">
              <w:rPr>
                <w:rFonts w:cs="Arial"/>
                <w:b w:val="0"/>
                <w:lang w:eastAsia="en-NZ"/>
              </w:rPr>
              <w:t>Sacred Heart has a mission, philosophy, commitments and objectives which together form the basis of the care provided to residents.  The facility is governed by a mission board located in Auckland.  A business/quality/risk management plan is in place.  The goals and direction of the service are well-documented and progress towards meeting these goals are documented through reports to the board, and in the monthly quality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manager/mother superior studied nursing overseas but does not hold a New Zealand practising certificate.  She was unavailable during this spot surveillance audit.  The facility manager is supported by a clinical nurse manager/registered nurse (RN) who has been in the role for three years and has worked at the facility for six years; and an assistant manager/sister/RN who has been in the role since 2018.  </w:t>
            </w:r>
          </w:p>
          <w:p w:rsidR="00EB7645" w:rsidRPr="00BE00C7" w:rsidP="00BE00C7">
            <w:pPr>
              <w:pStyle w:val="OutcomeDescription"/>
              <w:spacing w:before="120" w:after="120"/>
              <w:rPr>
                <w:rFonts w:cs="Arial"/>
                <w:b w:val="0"/>
                <w:lang w:eastAsia="en-NZ"/>
              </w:rPr>
            </w:pPr>
            <w:r w:rsidRPr="00BE00C7">
              <w:rPr>
                <w:rFonts w:cs="Arial"/>
                <w:b w:val="0"/>
                <w:lang w:eastAsia="en-NZ"/>
              </w:rPr>
              <w:t>The managers have each completed in excess of eight hours of professional development over the past twelve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Sacred Heart has a quality and risk management system established.  The managers oversee the quality programme with input and involvement from the staff, confirmed in interviews with the managers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implemented provide assurance that the service is meeting accepted good practice and adhering to relevant standards - including those standards relating to the Health and Disability Services (Safety) Act 2001.  Sacred Heart is in the process of implementing policies developed by an external consultant (Health Compliance Solutions Ltd).  Staff sign to confirm that they have read and are aware of any new/revised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processes are established, capture and manage non-compliances.  This includes internal audits, hazard management, risk management, incident and accident, infection control data collection and complaints management.  Missing was evidence of annual resident/relative satisfaction survey results.  Quality improvement data is discussed and minuted in the monthly quality meetings and three-monthly staff meetings.  Corrective actions are developed, implemented and signed off when service shortfalls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programme in place including policies to guide practice.  The health and safety programme is linked to the quality and staff meetings as a regular agenda item.  Hazard registers are regularly reviewed and audited internally every six months to ensure a safe environment.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A physiotherapist is on site from 0900 – 1200, four days a week and is assisted by physiotherapy students.  Examples of falls management strategies include intentional rounding, regular toileting, sensor mats, and decluttering rooms.  Each resident has an individual transfer plan that is regularly updated.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These are collated monthly and are discussed at the staff meetings and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electronic incident forms covering witnessed and unwitnessed falls, bruising and episodes of challenging behaviours were reviewed.  All incident forms identified a timely RN assessment of the resident and corrective actions to minimise resident risk.  Neurological observations are conducted for unwitnessed falls and any known head injury.  The next of kin is notified as indicated on the incident/accident form and/or in the resident’s progress notes.  The caregivers interviewed could discuss the incident reporting process.  The clinical nurse manager signs off on all incident/accident reports following their review and ensures corrective actions (as required) are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assistant manager and clinical nurse manager interviewed could describe situations that would require reporting to relevant authorities.  There has been one section 31 report completed since the previous audit for a resident with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to guide recruitment and employment practices.  A human resources (HR) advisor oversees HR processes.  Appropriate recruitment and employment documentation were evidenced in the six staff files reviewed (four caregivers, one kitchen assistant and one housekeeper) including evidence of an interview and reference checking, police vetting, signed employment contracts and signed job descriptions.  Performance appraisals were missing in a selection of staff files.  Interviews with staff informed that management are supportive and responsive.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An education planner covers compulsory education requirements over a two-year period.  Six of nine RNs have completed interRAI training.  There are implemented competencies for registered nurses related to specialised procedure or treatment including (but not limited to): medication management, syringe driver training and associated competencies.  Five caregivers have completed their level three CareerForce qualification (or its equivalent) and two have completed a level four qualification.  Three caregivers are international RNs.  </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first aid trained staff available at all times on site and on outings.  Current practicing certificates are retained for the RNs, ENs and other registered health professionals.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stated that staff are knowledgeable and skilled.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Sacred Heart Home and Hospital has a documented rationale for determining staffing levels and skill mix for safe service delivery.  There is a registered nurse on duty at all times and at least one staff member on with a current first aid qualification.  The sisters (one mother superior, one assistant manager/RN and one caregiver) live on site and provide afterhours/on call support as required.  The clinical nurse manager/RN is employed Monday – Friday.  At the time of the audit there were 2.5 full time equivalent (FTE) caregiver vacancies and 1.0 FTE RN vacancy.</w:t>
            </w:r>
          </w:p>
          <w:p w:rsidR="00EB7645" w:rsidRPr="00BE00C7" w:rsidP="00BE00C7">
            <w:pPr>
              <w:pStyle w:val="OutcomeDescription"/>
              <w:spacing w:before="120" w:after="120"/>
              <w:rPr>
                <w:rFonts w:cs="Arial"/>
                <w:b w:val="0"/>
                <w:lang w:eastAsia="en-NZ"/>
              </w:rPr>
            </w:pPr>
            <w:r w:rsidRPr="00BE00C7">
              <w:rPr>
                <w:rFonts w:cs="Arial"/>
                <w:b w:val="0"/>
                <w:lang w:eastAsia="en-NZ"/>
              </w:rPr>
              <w:t>The dual-purpose rest home/hospital wing, known as the villas, includes rest home and (low acuity) hospital level residents.  There were 24 residents (9 hospital and 15 rest home) in the villas at the time of the audit.  An EN is rostered five days a week on the morning shift with a senior caregiver filling in on the days the EN is unavailable.  A senior caregiver is rostered on the afternoon shift five days a week with a casual RN filling in on the days the senior caregiver is unavailable.  The night shift is staffed with one RN who is based in the hospital wing.  There are three caregivers (one long shift and two short shifts to 1315).  On the afternoon shift there are two caregivers (to 2130).  When the caregivers leave, a caregiver from the hospital covers the villas until the night staff arrive.  The night shift is staffed with one caregiver.</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wing with 26 residents (25 hospital and one rest home) there is a staff RN on every shift.  The assistant manager/RN provides oversight in addition to the clinical nurse manager.  The RN is supported on morning shift by five caregivers (three full shifts and three short shifts).  On afternoon shift there are four caregivers (two short and two long shifts).  On night shift there is one caregiver.  Note: the rest home level resident in the hospital has been placed there under special circumstances, to provide support for a palliative resident.</w:t>
            </w:r>
          </w:p>
          <w:p w:rsidR="00EB7645" w:rsidRPr="00BE00C7" w:rsidP="00BE00C7">
            <w:pPr>
              <w:pStyle w:val="OutcomeDescription"/>
              <w:spacing w:before="120" w:after="120"/>
              <w:rPr>
                <w:rFonts w:cs="Arial"/>
                <w:b w:val="0"/>
                <w:lang w:eastAsia="en-NZ"/>
              </w:rPr>
            </w:pPr>
            <w:r w:rsidRPr="00BE00C7">
              <w:rPr>
                <w:rFonts w:cs="Arial"/>
                <w:b w:val="0"/>
                <w:lang w:eastAsia="en-NZ"/>
              </w:rPr>
              <w:t>The service employs cleaners, laundry staff and kitchen staff including cooks and kitchenhands.  The manager (mother superior) and assistant manager/RN (sister) each work approximately 40 hours per week, live on site and are available to support staff as required including during the PM and night shifts.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reported that staffing levels and the skill mix was adequate although very busy.  Residents and family members interviewed advised that they felt there was sufficient staffing.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medicines are stored securely.  The medication fridge temperatures are monitored and recorded; however, medication room temperatures were not being monitored. Checking for the temperature of the medication room was commenced on the day of the audit.  Registered nurses, enrolled nurses and senior caregivers’ complete annual medication competencies and medication education.  Medication reconciliation occurs against the robotic rolls (for regular medications) and blister packs (for ‘as required’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reviews and signs a list of standing orders annually.  Records of medication reconciliation are entered into the electronic medication system.  Any discrepancies are fed back to the supplying pharmacy who are available after hours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rest home residents self-medicating with current self-medication competencies.  All eyedrops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charts were reviewed.  All charts had photo identification and allergy status documented.  ‘As required’ medication has documented indications for use.  The effectiveness of ‘as required’ medications were recorded in the electronic medication system.  All long-term medications charts had been reviewed by the GP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in the Sacred Heart Home and Hospital kitchen.  The Food Control Plan is current until 31 March 2022.  The chef is qualified with City and Guilds.  He runs his own food safety programme for staff based on food control documentation.  All kitchen staff have a food handling certificate.  The kitchen team includes two chefs and a back-up cook and kitchenhands.  There is a rotating menu that is designed and reviewed by an external company that specialise in providing menus for rest homes and provide dietitian expertise.  A food services policies and procedure manual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dining rooms for residents.  Food is transported to the kitchen areas adjacent to each dining room in hot boxes, then transferred to bain maries, probed and served.  Daily hot food temperatures are taken and recorded for each hot meal.  Meals are served and delivered to residents.  Fridge and freezer temperatures are recorded.  Dry foods in the pantry are dated and sealed.  Perishable foods in the chiller and refrigerators are date-labelled and stored correctly.  The kitchen is well equipped with a separate dishwashing area, preparation, cooking, baking and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schedules are maintained.  The chemicals are stored safely.  The chemical supplier completes quality control checks on the sanitiser.  Safety data sheets are available, and training is provided as required.  Personal protective equipment is readily available, and staff were observed to be wearing hats, aprons and gloves.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dietary requirements/food and fluid preferences recorded on admission and updated as required.  The chef maintains a folder of residents’ dietary requirements that include likes/dislikes.  Alternative choices are offered.  The chef is informed of dietary changes and advised of any residents with weight loss.  Dietary needs are met including normal, pureed meals and finger foods.  Specialised utensils and lip plates are available as required.  Input from residents and food surveys, provide resident feedback on the meals and food services (link 1.2.3.6).  Residents and relatives interviewed confirmed likes/dislikes are accommodated and alternative choices offered.  The residents and relatives interviewed were complimentary of the food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care plans reviewed were goal orientated and met the resident needs.  Residents and relatives interviewed stated their needs are being met.  If a resident’s condition changes the RN initiates a GP consultation or nurse specialist referral.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six residents with wounds on the day of the audit including skin tears, surgical wound, and chronic venous ulcers.  Wound assessments had been completed electronically for all wounds including a body map, sizes and photos as required.  Evaluations and change of dressings had occurred at the documented frequency.  Chronic wounds had been linked to the long-term care plan.  There were no residents with pressure injuries.  The RNs have accessed advice and support from the wound nurse specialist and the vascular clinic at the DHB for the chronic ulcers.  There was sufficient pressure relieving devises in use and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specialist continence advice as required.  Sufficient continence products were sighted during the audit.  Monitoring records sighted included weights, vital signs, neurological observations, bowel records, food and fluids, blood sugar levels, pain, two hourly repositioning charts, fluid balance and challenging behaviour monitoring charts.  Resident weights were noted to be monitored monthly or more frequently if necessary.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two activities assistants are employed Monday to Friday and a Saturday afternoon.  Both team members are undertaking training in diversional therapy and building on their existing skills and qualifications.  Staff facilitate activities for residents on Sundays and this includes videos and concerts with visiting entertainers.</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demonstrated that the activities team conduct an activities assessment on admission and six monthly thereafter.  Plans are developed, reviewed, evaluated and integrated into the resident’s care plan.  Residents interviewed confirmed that the activities provided by the facility met their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sisters from Little Sisters of the Poor provide ongoing spiritual and pastoral care to residents, and the on-site chapel enables residents to attend church services and communion.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made available to residents in A3 format for ease of reading and is displayed on noticeboards around the facility.  The Little Sisters of the Poor also prepare a weekly ‘Chatline’ newsletter with activities and spiritual input.  The activity programme includes newspaper reading, exercises, arts and crafts, group games, knitting groups, and movies.  The activities team enable residents to access the community through bus outings.  Bus outings include going to beaches and nearby attractions (Covid restrictions allowing).  The bus driver holds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can provide feedback on the programme at the completion of each activity, through resident meetings, surveys and one-to-one interactions (link 1.2.3.6).  The registered nurses, residents and relatives interviewed commented positively on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care plan is evaluated in consultation with the resident/relative and long-term care plans developed.  Long-term care plans reviewed had been evaluated six monthly or earlier for any changes to health.  The residents/relatives are invited to attend the multidisciplinary review (MDT) with input from the GP, physiotherapist, activities coordinator, and the registered nurses.  There is a written evaluation against the resident goals that identifies progression towards meeting goals.  Long-term care plans are updated with any changes to meet the resident goals.  Short-term care plans were evident for the care and treatment of short-term problems for residents and these had been evaluated, closed or transferred to the long-term care plan if the problem was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Chubb building systems status report is posted in a visible location (4 March 2021).  The Dunedin City Council is delayed in issuing a building warrant of fitness document due to the Covid pandemic.  A form 12a has been issued on 8 April 2021 and is valid for 12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maintenance staff carry out minor repairs and maintenance, reactive and preventative maintenance.  There is an annual maintenance plan, with monthly checks, which include hot water temperatures, maintenance of equipment and safety checks.  Electrical equipment is tested and tagged a minimum of annually.  Clinical equipment is calibrated annually.  Essential contractors are available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sufficiently wide to enable safe mobility for the use of mobility aids and transferring equipment.  Residents were observed moving freely around the areas with mobility aids where required.  The external areas and gardens were well maintained.  There are outdoor areas with seating and shade.  There is wheelchair access to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van available with a current warrant of fitness and registration for transportation of residents.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stated they have enough equipment to safely deliver the cares as outlined in the resident care plans.  There are adequate storage areas for hoist, wheelchairs, products and other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responsibilities are shared between a registered nurse and the clinical nurse manager oversees practice and collates the monthly data.  The clinical nurse manager uses the information obtained through surveillance to determine infection control activities, trends,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individual electronic resident infection form is completed which includes signs and symptoms of infection, treatment, follow-up, review and resolution.  Surveillance of all infections is entered on to a monthly infection summary.  This data is monitored and evaluated monthly and annually.  There are standard definitions of infections in place appropriate to the complexity of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data is collated monthly and outcomes and actions are discussed at the quality, and staff meetings.  If there is an emergent issue, it is acted upon in a timely manner.  The surveillance of infection data assists in evaluating compliance with infection control practices.  The infection control programme is linked with the quality management programme.  There have been no outbreaks since the previous audit.  The clinical nurse manager and registered nurse interviewed were knowledgeable around the management, documentation and reporting of an outbreak.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wearing appropriate personal protective equipment (PPE). Staff were also observed to have the ability to ensure that the five moments of hand hygiene were performed when undertaking personal cares in residents’ rooms. Any reusable PPE is wiped between use.  All resident rooms have ensuite facilities; care staff interviewed described handwashing and PPE requirements during resident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Covid resource information available to staff, which includes guidelines, and requirements for each level of Covid-19 lockdown.  There is signage at the entry of the facility to remind visitors not to visit if they are feeling unwell.  As the audit was conducted during level 2 Covid restrictions, all visiting was arranged by appointment only.  All visitors are required to sign in at the reception, complete a wellness declaration and wear a mask.  Adequate supplies of personal protective equipment were sighted and is accessible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control audits also assist the service in evaluating infection control needs.  There is close liaison with the GPs that advise and provide feedback/information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six hospital residents with restraints (lap belts, bedrails) and four hospital level residents with enablers (bedrails).  Policies and procedures include definitions of restraint and enabler that are congruent with the definition in NZS 8134.0.  Enablers are voluntary and require resident consent.  Enabler documentation for one file reviewed included consent, risk assessment, care planning, and review.  Staff education on RMSP/enablers is provided on orientation of new staff and annually thereafter.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68"/>
        <w:gridCol w:w="1280"/>
        <w:gridCol w:w="4344"/>
        <w:gridCol w:w="2955"/>
        <w:gridCol w:w="18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improvement programme is established.  Quality data that is collected and trended includes clinical indicator data, internal audit results, accident/incidents, hazards and complaints (if any).  These results are regularly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resident/relative satisfaction survey is scheduled to take place annually but was last conducted in 2019.  Resident /family participation via resident meetings is scheduled six-monthly although the last meeting minuted was in 2019 (note: one meeting reportedly took place in 2020 and one in 2021 but the minutes were not located).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only minimal evidence of resident /family participation.  A resident/relative satisfaction survey was last conducted in 2019 and resident /family meetings have not been held since 2019.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residents and relatives have input into the quality programme e.g. through satisfaction surveys and regular resident/family meetings.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education and training programme is being implemented that reflects high attendance at scheduled in-services.  Missing is evidence of annual performance appraisals.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four staff files reviewed of staff who have been employed for over one year failed to reflect evidence of an annual performance appraisal.  The HR advisor confirmed that staff performance appraisals are behind schedule.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staff performance appraisals are completed annually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were stored securely, and medication trolleys were locked when not in use.  Medication fridge temperatures were monitored and recorded, however, there was no documented evidence that medication room temperatures were being monitored.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documented evidence that medications were stored under the recommended 25 degrees Celsius.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 evidence that all medications are stored under 25 degrees Celsius.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Little Sisters of The Poor Aged Care New Zealand Limited - Sacred Heart Home and Hospital</w:t>
    </w:r>
    <w:bookmarkEnd w:id="58"/>
    <w:r>
      <w:rPr>
        <w:rFonts w:cs="Arial"/>
        <w:sz w:val="16"/>
        <w:szCs w:val="20"/>
      </w:rPr>
      <w:tab/>
      <w:t xml:space="preserve">Date of Audit: </w:t>
    </w:r>
    <w:bookmarkStart w:id="59" w:name="AuditStartDate1"/>
    <w:r>
      <w:rPr>
        <w:rFonts w:cs="Arial"/>
        <w:sz w:val="16"/>
        <w:szCs w:val="20"/>
      </w:rPr>
      <w:t>3 November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