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Masonic Care Limited - Glenwood Masonic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Masonic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Glenwood Masonic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November 2021</w:t>
      </w:r>
      <w:bookmarkEnd w:id="7"/>
      <w:r w:rsidRPr="009418D4">
        <w:rPr>
          <w:rFonts w:cs="Arial"/>
        </w:rPr>
        <w:tab/>
        <w:t xml:space="preserve">End date: </w:t>
      </w:r>
      <w:bookmarkStart w:id="8" w:name="AuditEndDate"/>
      <w:r w:rsidR="00A4268A">
        <w:rPr>
          <w:rFonts w:cs="Arial"/>
        </w:rPr>
        <w:t>11 November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Glenwood Masonic Hospital (Glenwood), in Masterton, is one of the facilities owned and operated by Masonic Care Limited.  Glenwood have contracts to provide rest home and hospital level care, palliative care, non-aged residential care to younger people with physical and/or intellectual disabilities, a health recovery programme, short term residential care and longer term support for chronic health conditions for up to 48 residents.  All beds are dual purpose.  </w:t>
      </w:r>
    </w:p>
    <w:p w:rsidRPr="00A4268A">
      <w:pPr>
        <w:spacing w:before="240" w:line="276" w:lineRule="auto"/>
        <w:rPr>
          <w:rFonts w:eastAsia="Calibri"/>
        </w:rPr>
      </w:pPr>
      <w:r w:rsidRPr="00A4268A">
        <w:rPr>
          <w:rFonts w:eastAsia="Calibri"/>
        </w:rPr>
        <w:t>The service is managed by a facility manager supported by a management team consisting of a clinical nurse manager, administrator coordinator and quality coordinator.  Since the last audit, a director of nursing has been employed by the Masonic Care Board and a clinical governance process has been commenced.  A new clinical nurse manager has been employed at Glenwood.  An electronic monthly reporting tool and an electronic resident care record has been introduced.  There have been no facility changes since the last audit.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contracts with the district health board and the Ministry of Health. The audit process included review of policies and procedures, review of residents’ and staff files, observations and interviews with residents, family members, managers, staff, and a nurse practitioner. </w:t>
      </w:r>
    </w:p>
    <w:p w:rsidRPr="00A4268A">
      <w:pPr>
        <w:spacing w:before="240" w:line="276" w:lineRule="auto"/>
        <w:rPr>
          <w:rFonts w:eastAsia="Calibri"/>
        </w:rPr>
      </w:pPr>
      <w:r w:rsidRPr="00A4268A">
        <w:rPr>
          <w:rFonts w:eastAsia="Calibri"/>
        </w:rPr>
        <w:t xml:space="preserve">The service is dedicated to providing the best care for their residents and continue to look at ways to improve services.  No areas for improvement have been raised in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of Glenwood when they are admitted.  Opportunities are provided to discuss the Code, consent, and availability of advocacy services at the time of admission and thereafter as required.</w:t>
      </w:r>
    </w:p>
    <w:p w:rsidRPr="00A4268A">
      <w:pPr>
        <w:spacing w:before="240" w:line="276" w:lineRule="auto"/>
        <w:rPr>
          <w:rFonts w:eastAsia="Calibri"/>
        </w:rPr>
      </w:pPr>
      <w:r w:rsidRPr="00A4268A">
        <w:rPr>
          <w:rFonts w:eastAsia="Calibri"/>
        </w:rPr>
        <w:t>Services at Glenwood are provided in a manner that respects the choices, personal privacy, independence, individual needs, and dignity of residents.  Staff were observed to be interacting with residents in a respectful manner.</w:t>
      </w:r>
    </w:p>
    <w:p w:rsidRPr="00A4268A">
      <w:pPr>
        <w:spacing w:before="240" w:line="276" w:lineRule="auto"/>
        <w:rPr>
          <w:rFonts w:eastAsia="Calibri"/>
        </w:rPr>
      </w:pPr>
      <w:r w:rsidRPr="00A4268A">
        <w:rPr>
          <w:rFonts w:eastAsia="Calibri"/>
        </w:rPr>
        <w:t>Care for any residents who identify as Māori is guided by a comprehensive Māori health plan and related policies.</w:t>
      </w:r>
    </w:p>
    <w:p w:rsidRPr="00A4268A">
      <w:pPr>
        <w:spacing w:before="240" w:line="276" w:lineRule="auto"/>
        <w:rPr>
          <w:rFonts w:eastAsia="Calibri"/>
        </w:rPr>
      </w:pPr>
      <w:r w:rsidRPr="00A4268A">
        <w:rPr>
          <w:rFonts w:eastAsia="Calibri"/>
        </w:rPr>
        <w:t>There was no evidence of abuse, neglect or discrimination and staff understood and implemented related policies.  Professional boundaries are maintained.</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formal interpreting services if required.</w:t>
      </w:r>
    </w:p>
    <w:p w:rsidRPr="00A4268A">
      <w:pPr>
        <w:spacing w:before="240" w:line="276" w:lineRule="auto"/>
        <w:rPr>
          <w:rFonts w:eastAsia="Calibri"/>
        </w:rPr>
      </w:pPr>
      <w:r w:rsidRPr="00A4268A">
        <w:rPr>
          <w:rFonts w:eastAsia="Calibri"/>
        </w:rPr>
        <w:t>Glenwood has linkages to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There is a complaints process which meets the requirements of the legislation.</w:t>
      </w:r>
    </w:p>
    <w:p w:rsidRPr="00A4268A">
      <w:pPr>
        <w:spacing w:before="240" w:line="276" w:lineRule="auto"/>
        <w:rPr>
          <w:rFonts w:eastAsia="Calibri"/>
        </w:rPr>
      </w:pP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strategic plan included the vision, direction, four goals, values and mission statement of the organisation, with these driving the quality and risk management systems. The plan includes appropriate references to younger people with disabilities who are residents.  Monthly reporting templates are used by the facility manager, which go to the chief executive and the director of nursing and allow for monitoring of the services provided.  The chief executive and director of nursing provide reports to the governing body.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benchmarking, and leads to improvements where required.  Staff are involved and feedback is sought from residents and families.  Adverse events are documented with corrective actions implemented where applicable.  Actual and potential risks, including health and safety risks, are identified and mitigated.  Policies and procedures support service delivery to all residents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are monitored with the aim of meeting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liaison between Focus Wairarapa District Health Board (Focus) and the clinical team.  Relevant information is provided to the potential resident and their family to facilitate admission to the facility.  </w:t>
      </w:r>
    </w:p>
    <w:p w:rsidRPr="00A4268A" w:rsidP="00621629">
      <w:pPr>
        <w:spacing w:before="240" w:line="276" w:lineRule="auto"/>
        <w:rPr>
          <w:rFonts w:eastAsia="Calibri"/>
        </w:rPr>
      </w:pPr>
      <w:r w:rsidRPr="00A4268A">
        <w:rPr>
          <w:rFonts w:eastAsia="Calibri"/>
        </w:rPr>
        <w:t>The residents’ needs are assessed by the multidisciplinary team on admission and within the required time frames.  Care plans are individualised, based on a comprehensive range of information, and accommodate any new problems that might arise.  The residents’ files reviewed, evidenced that the care provided, and the needs of the residents are reviewed and evaluated on a regular and timely basis.  Residents are referred to other health providers as required.  Shift handovers and communication sheets promote continuity of care between the shifts in each area of the facility.</w:t>
      </w:r>
    </w:p>
    <w:p w:rsidRPr="00A4268A" w:rsidP="00621629">
      <w:pPr>
        <w:spacing w:before="240" w:line="276" w:lineRule="auto"/>
        <w:rPr>
          <w:rFonts w:eastAsia="Calibri"/>
        </w:rPr>
      </w:pPr>
      <w:r w:rsidRPr="00A4268A">
        <w:rPr>
          <w:rFonts w:eastAsia="Calibri"/>
        </w:rPr>
        <w:t>The planned activity programme is delivered seven days a week by two part time diversional therapists and supported by an activities assistant.  The programme provides the residents with a variety of individual and group activities and maintains their links with the community.  There is a facility van available for outings, as Covid-19 allows.</w:t>
      </w:r>
    </w:p>
    <w:p w:rsidRPr="00A4268A" w:rsidP="00621629">
      <w:pPr>
        <w:spacing w:before="240" w:line="276" w:lineRule="auto"/>
        <w:rPr>
          <w:rFonts w:eastAsia="Calibri"/>
        </w:rPr>
      </w:pPr>
      <w:r w:rsidRPr="00A4268A">
        <w:rPr>
          <w:rFonts w:eastAsia="Calibri"/>
        </w:rPr>
        <w:t>Medicines are managed according to the policies and procedures which are based on current best practice and consistently implemented.  Medications are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any special requirements catered for.  There are sandwiches and snacks available for rest home and hospital residents 24 hours a day.  Policies guide the food service delivery supported by staff with food safety qualifications.  The kitchen was well organised, clean and meets food safety standards.  Residents verified satisfaction with the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individual needs of residents and was clean and well maintained.  There was a current building warrant of fitness.  Electrical and biomedical equipment have been tested as required.  Communal and individual spaces are maintained at a comfortable temperature.  External areas are accessible and safe and shade is provided in summer with seating available.  There are multiple areas provided which are suitable for younger people with disabilities. </w:t>
      </w:r>
    </w:p>
    <w:p w:rsidRPr="00A4268A">
      <w:pPr>
        <w:spacing w:before="240" w:line="276" w:lineRule="auto"/>
        <w:rPr>
          <w:rFonts w:eastAsia="Calibri"/>
        </w:rPr>
      </w:pPr>
      <w:r w:rsidRPr="00A4268A">
        <w:rPr>
          <w:rFonts w:eastAsia="Calibri"/>
        </w:rPr>
        <w:t>Waste and hazardous substance management was in place.  Staff use protective equipment and clothing. Chemicals, soiled linen and equipment are now being safely stored.  Personalised equipment for younger people with disabilities is well maintained and safely stored in their rooms.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The service’s emergency plan meets the special needs of younger people with disabilities in an emergency.  Fire evacuation procedures are regularly practised.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No enablers were in use at the time of audit. Use of enablers is voluntary for the safety of residents in response to individual requests.   </w:t>
      </w:r>
    </w:p>
    <w:p w:rsidRPr="00A4268A">
      <w:pPr>
        <w:spacing w:before="240" w:line="276" w:lineRule="auto"/>
        <w:rPr>
          <w:rFonts w:eastAsia="Calibri"/>
        </w:rPr>
      </w:pPr>
      <w:r w:rsidRPr="00A4268A">
        <w:rPr>
          <w:rFonts w:eastAsia="Calibri"/>
        </w:rPr>
        <w:t>Seven residents had restraints in use during the audit.  A comprehensive assessment, approval and monitoring process with regular reviews occurs for all restraints.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led by an experienced and appropriately trained infection control nurse, aims to prevent and manage infections.  The programme is reviewed annually.  Specialist infection prevention and control advice is accessed if required.  </w:t>
      </w:r>
    </w:p>
    <w:p w:rsidRPr="00A4268A">
      <w:pPr>
        <w:spacing w:before="240" w:line="276" w:lineRule="auto"/>
        <w:rPr>
          <w:rFonts w:eastAsia="Calibri"/>
        </w:rPr>
      </w:pPr>
      <w:r w:rsidRPr="00A4268A">
        <w:rPr>
          <w:rFonts w:eastAsia="Calibri"/>
        </w:rPr>
        <w:t xml:space="preserve">Staff demonstrated good knowledge around the principals and practice of infection control, guided by relevant policies and supported with regular education.  </w:t>
      </w:r>
    </w:p>
    <w:p w:rsidRPr="00A4268A">
      <w:pPr>
        <w:spacing w:before="240" w:line="276" w:lineRule="auto"/>
        <w:rPr>
          <w:rFonts w:eastAsia="Calibri"/>
        </w:rPr>
      </w:pPr>
      <w:r w:rsidRPr="00A4268A">
        <w:rPr>
          <w:rFonts w:eastAsia="Calibri"/>
        </w:rPr>
        <w:t>Age care specific infection surveillance is undertaken, with data analysed, benchmarked and results reported through to all levels of the organisation.  Follow up action is taken as and when required.</w:t>
      </w:r>
    </w:p>
    <w:p w:rsidRPr="00A4268A">
      <w:pPr>
        <w:spacing w:before="240" w:line="276" w:lineRule="auto"/>
        <w:rPr>
          <w:rFonts w:eastAsia="Calibri"/>
        </w:rPr>
      </w:pPr>
      <w:r w:rsidRPr="00A4268A">
        <w:rPr>
          <w:rFonts w:eastAsia="Calibri"/>
        </w:rPr>
        <w:t>Covid-19 related processes are in place to manage the changes in the response levels as appropriate to aged care and as per the Ministry of Health guidelines.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46"/>
        <w:gridCol w:w="1280"/>
        <w:gridCol w:w="91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Glenwood Masonic Hospital (Glenwood)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part of the ongoing yearly training programme,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principals and practice of informed consent.  Informed consent policies provide relevant guidance to staff.  Clinical files reviewed showed that informed consent has been gained appropriately using the organisation’s standard consent form.  Advance care planning, establishing, and documenting enduring power of attorney requirements and processes for residents is defined and documented, as relevant, in the resident’s record.  Staff demonstrated their understanding by being able to explain situations when this may occur.</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gaining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service are on display and available throughout the facility in both English and te reo Māori.  Family members and residents spoken to were aware of the Advocacy Service, how to access this and their rights to have a support person.  Staff are also aware of how to access the Advocacy Service if this is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activities, and entertainment.  The facility encourages visits from family and friends. Family members interviewed stated they felt welcome when they visited and comfortable in their dealings with the staff.  Visiting is currently restricted to afternoons and some outings due to the restrictions of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meets the requirements of Right 10 of the Code.  Information on the complaint process is provided to residents and families on admission and those interviewed knew how to do so.  Feedback forms are available at reception.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with the facility manager (FM), showed five complaints were received in 2020 and six complaints have been received this year.  All complaints were closed and a sample of three reviewed (received this year), showed that actions taken, through to an agreed resolution, were documented and completed within the timeframes of the Code.  Action plans showed any required follow up and improvements have been made where possible.  The FM is responsible for complaints management and follow up.  They spoke of timely reporting serious issues to the director of nursing (DoN) and/or chief executive (CE) where appropriate.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interviewed, the residents and family/whanau of Glenwood reported being made aware of the Code and the Nationwide Health and Disability Advocacy Service (Advocacy Service) as part of the admission information provided and from discussion with staff.  The Code is displayed in English and te reo Māori throughout the facility.  Information on how to make a complaint and provide feedback is available for residents and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confirmed that services are provided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by ensuring resident information is held securely and privately, when exchanging verbal information and during discussion with families the general practitioner (GP) and nurse practitioner (NP).  All residents have a private room.  There are several lounges located throughout the facility providing quiet areas to chat away from the main communal areas.</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participating in community activities and quite often the community activities comes to the facility, as Covid-19 allows.  Each resident’s care plan includes documentation related to the resident’s abilities and strategies to maintain and maximise their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have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be occurring during the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resident at Glenwood whom, identifies as Māori. The family/whānau are involved in planning of care and identifying any specific cultural requirements.  This is yet to be completed, as the resident has only recently been admitted.  </w:t>
            </w:r>
          </w:p>
          <w:p w:rsidR="00EB7645" w:rsidRPr="00BE00C7" w:rsidP="00BE00C7">
            <w:pPr>
              <w:pStyle w:val="OutcomeDescription"/>
              <w:spacing w:before="120" w:after="120"/>
              <w:rPr>
                <w:rFonts w:cs="Arial"/>
                <w:b w:val="0"/>
                <w:lang w:eastAsia="en-NZ"/>
              </w:rPr>
            </w:pPr>
            <w:r w:rsidRPr="00BE00C7">
              <w:rPr>
                <w:rFonts w:cs="Arial"/>
                <w:b w:val="0"/>
                <w:lang w:eastAsia="en-NZ"/>
              </w:rPr>
              <w:t>Staff receive annual education to enable them to support residents who identify as Māori to integrate their cultural values and beliefs.  The principals of the Treaty of Waitangi are incorporated into day-to-day practice, as is the importance of whānau.  There is a current Māori health plan and guidance on tikanga best practice is available. There are staff who identify as Māori in the facility and they can also act as a resource.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verified that they were consulted on their individual culture, values and beliefs and that staff respected these.  There are several staff who can act as interpreters if required. Access is also available to an external service. Residents’ personal preferences required interventions and special needs were included in all care plans that were reviewed.  For example, likes and dislikes and attention to preferences around activities of daily living.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that residents were free from discrimination, harassment or exploitation and felt safe.  The facility nurse practitioner (NP) also expressed satisfaction with the standard of services provided to the residents.  The induction process for staff includes education related to professional boundaries and expected behaviour to support good practice.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and encourages good practice through evidence-based policies, input from external specialist services and allied health professionals, for example wound care, palliative care, and online education for staff.  The NP confirmed that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that they receive management support for external education and access their own professional networks.  Ongoing yearly training is provided both in-house and online and from external providers.  </w:t>
            </w:r>
          </w:p>
          <w:p w:rsidR="00EB7645" w:rsidRPr="00BE00C7" w:rsidP="00BE00C7">
            <w:pPr>
              <w:pStyle w:val="OutcomeDescription"/>
              <w:spacing w:before="120" w:after="120"/>
              <w:rPr>
                <w:rFonts w:cs="Arial"/>
                <w:b w:val="0"/>
                <w:lang w:eastAsia="en-NZ"/>
              </w:rPr>
            </w:pPr>
            <w:r w:rsidRPr="00BE00C7">
              <w:rPr>
                <w:rFonts w:cs="Arial"/>
                <w:b w:val="0"/>
                <w:lang w:eastAsia="en-NZ"/>
              </w:rPr>
              <w:t>Examples of continuous quality improvement projects were sighted:</w:t>
            </w:r>
          </w:p>
          <w:p w:rsidR="00EB7645" w:rsidRPr="00BE00C7" w:rsidP="00BE00C7">
            <w:pPr>
              <w:pStyle w:val="OutcomeDescription"/>
              <w:spacing w:before="120" w:after="120"/>
              <w:rPr>
                <w:rFonts w:cs="Arial"/>
                <w:b w:val="0"/>
                <w:lang w:eastAsia="en-NZ"/>
              </w:rPr>
            </w:pPr>
            <w:r w:rsidRPr="00BE00C7">
              <w:rPr>
                <w:rFonts w:cs="Arial"/>
                <w:b w:val="0"/>
                <w:lang w:eastAsia="en-NZ"/>
              </w:rPr>
              <w:t>- A Falls Prevention and Management project was initiated in July 2020 to address the rise in falls.  RN staffing issues resulted in the project being placed on hold. A re-focus has been placed back on the project in an effort to reduce the number of falls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The dining experience has been improved, where-by the dinning room tables were being set with table clothes and flowers from the garden.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facility is currently implementing an electronic record system for patient care.  This was commenced and not fully completed due to RN staffing issues and is to be resumed now that the recruitment of RNs has occurred.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own or their relative’s status, they are advised in a timely manner about any incidents or accidents and the outcomes of regular or urgent medical reviews.  This was clearly documented in the residents’ records that were reviewed and family communication sheets.  There was also evidence of resident/family input into the care planning process and the multi-disciplinary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principals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an interpreter should this be required. Several staff members are bi-lingual.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business plan 2016 to 2021, is comprehensive and outlines the purpose, values, mission and four goals of the organisation.  The chief executive (CE) stated the Board meet 11 times a year and were considering their next strategic plan.  The facility has a specific business plan and incorporate the organisation wide strategic goals.  Two weekly ‘ZOOM’ meetings are held with senior management and other facility mangers, as well as regular face to face meetings with the CE and director of nursing (DoN).  Planning for younger people with disabilities is reflected in the personal family centred approach of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implemented a monthly electronic reporting tool (Quality Performance System (QPS)), which collects data on business management, clinical indicators and quality data.  This allows benchmarking with other Masonic and overseas facilities.  A sample of these monthly reports by the facility manager (FM) to the CE and DoN showed adequate information to monitor performance is reported including financial performance, trending and emerging risks and issues.  The CE and DoN report to the Board monthly.  Review of the Masonic Village Limited Board pack for November 2021, showed evidence that the Board is well informed of the facility’s risks and emerging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FM, who is a registered nurse with post graduate qualifications related to health and business management.  They have held senior positions within the aged care sector for over 30 years and have been in their present role for seven years.  Responsibilities and accountabilities are defined in a job description and individual employment agreement.  The CE and FM spoke of the budget within which the FM manages, which includes capital expenditure. There is a process for looking at replacement of capital items.  The FM confirmed knowledge of the sector, regulatory and reporting requirements and maintain currency through attending meetings and receiving updates from various organisations.  They attend the two monthly provider meetings with the DHB.  The CE is on the executive of the New Zealand Aged Care Association and ensures the facilities are aware of national issues and movements within these.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for rest home and hospital level care, a health recovery programme, short term residential care and longer term support for chronic health conditions and residential palliative care. They have a contract with the Ministry for one resident under the younger person with a non-aged residential care with physical/intellectual disability (YPD) contract.  The 48 residents were receiving services under these contracts: </w:t>
            </w:r>
          </w:p>
          <w:p w:rsidR="00EB7645" w:rsidRPr="00BE00C7" w:rsidP="00BE00C7">
            <w:pPr>
              <w:pStyle w:val="OutcomeDescription"/>
              <w:spacing w:before="120" w:after="120"/>
              <w:rPr>
                <w:rFonts w:cs="Arial"/>
                <w:b w:val="0"/>
                <w:lang w:eastAsia="en-NZ"/>
              </w:rPr>
            </w:pPr>
            <w:r w:rsidRPr="00BE00C7">
              <w:rPr>
                <w:rFonts w:cs="Arial"/>
                <w:b w:val="0"/>
                <w:lang w:eastAsia="en-NZ"/>
              </w:rPr>
              <w:t>•</w:t>
              <w:tab/>
              <w:t>25 hospital level care, one being the resident under the YPD Ministry contract</w:t>
            </w:r>
          </w:p>
          <w:p w:rsidR="00EB7645" w:rsidRPr="00BE00C7" w:rsidP="00BE00C7">
            <w:pPr>
              <w:pStyle w:val="OutcomeDescription"/>
              <w:spacing w:before="120" w:after="120"/>
              <w:rPr>
                <w:rFonts w:cs="Arial"/>
                <w:b w:val="0"/>
                <w:lang w:eastAsia="en-NZ"/>
              </w:rPr>
            </w:pPr>
            <w:r w:rsidRPr="00BE00C7">
              <w:rPr>
                <w:rFonts w:cs="Arial"/>
                <w:b w:val="0"/>
                <w:lang w:eastAsia="en-NZ"/>
              </w:rPr>
              <w:t>•</w:t>
              <w:tab/>
              <w:t>23 rest home level care, seven of whom are in the care suites with occupational right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facility manager is absent, the clinical nurse manager (CNM) will carry out delegated duties.  The CNM commenced her role in June 2021 and is new to New Zealand and the aged care sector. The CNM is being supported by the FM, DoN and the NP, into this role.  When the CNM is on leave there is a senior RN who has been with the organisation for a number of years who will take on the role.  Staff reported they feel supported by the FM, CNM and 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management framework, which includes the dimensions of quality improvement and quality assurance.  There is a quality improvement register and projects for continuous quality improvement are being undertaken (refer Standard 1.1.8).  The ‘QPS’ benchmarking report is completed monthly and contains data related to complaints, adverse events, clinical indicators (falls, pressure injuries, medication errors, skin tears and infections) as well as patient and relative surveys data.  This data is analysed, with benchmarking and trended occurring.  This was confirmed in the Director of Nursing Quality and Risk Report October 2021.  Also sighted was the last quarter Glenwood specific data analysis report which showed the trending by month over the last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CE spoke of the organisational risk register and the FM provided a copy of the Glenwood risk register which showed risks being identified, rated, mitigation strategies in place and residual risks.  There is a separate health and safety risk (hazard) register, which is maintained by the administration coordinator who is the health and safety officer.  The FM is familiar with the Health and Safety at Work Act (2015) and has implemented requirements This showed hazards being identified and mitigated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Glenwood has an audit calendar, managed by the quality coordinator, which showed 18 annual audits (examples included; laundry and cleaning, medication staff responsibilities, residents surveys, meal delivery, health and safety) and 11 six monthly audits (examples included; hand washing, medication staff responsibility, clinical records, health and safety hazard identification and evacuation) occurring.  Samples of these audits reviewed showed good completion of the tasks required and when areas of non-compliance were identified these have been rectified.  Staff spoke of being part of these audits and receiving feedback on the audits when completed.  Some audits were not able to be completed this year due to Covid-19 restrictions and a shortage of RNs in July.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Glenwood has a range of meetings occurring regularly, these include: </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Monthly residents’ meetings </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Quality, Health and Safety, Infection Control and Restraint Meetings, monthly </w:t>
            </w:r>
          </w:p>
          <w:p w:rsidR="00EB7645" w:rsidRPr="00BE00C7" w:rsidP="00BE00C7">
            <w:pPr>
              <w:pStyle w:val="OutcomeDescription"/>
              <w:spacing w:before="120" w:after="120"/>
              <w:rPr>
                <w:rFonts w:cs="Arial"/>
                <w:b w:val="0"/>
                <w:lang w:eastAsia="en-NZ"/>
              </w:rPr>
            </w:pPr>
            <w:r w:rsidRPr="00BE00C7">
              <w:rPr>
                <w:rFonts w:cs="Arial"/>
                <w:b w:val="0"/>
                <w:lang w:eastAsia="en-NZ"/>
              </w:rPr>
              <w:t>•</w:t>
              <w:tab/>
              <w:t>Management meetings - minutes sighted</w:t>
            </w:r>
          </w:p>
          <w:p w:rsidR="00EB7645" w:rsidRPr="00BE00C7" w:rsidP="00BE00C7">
            <w:pPr>
              <w:pStyle w:val="OutcomeDescription"/>
              <w:spacing w:before="120" w:after="120"/>
              <w:rPr>
                <w:rFonts w:cs="Arial"/>
                <w:b w:val="0"/>
                <w:lang w:eastAsia="en-NZ"/>
              </w:rPr>
            </w:pPr>
            <w:r w:rsidRPr="00BE00C7">
              <w:rPr>
                <w:rFonts w:cs="Arial"/>
                <w:b w:val="0"/>
                <w:lang w:eastAsia="en-NZ"/>
              </w:rPr>
              <w:t>•</w:t>
              <w:tab/>
              <w:t>RN/EN medication competent health care assistant monthly meetings</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Staff meetings -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minutes of these meetings showed staff were informed of quality and risk data and issues being discussed.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this includes the family of the younger person being asked to be involved.  The November 2020 surveys were reviewed:</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The relative survey had 14 returned out of 40 surveys sent out  </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The residents survey, where a volunteer assisted residents to complete the survey, had 13 responses out of 32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overall results, of these surveys, showed a high degree of satisfaction with the services being provided, with the majority of questions rated over 90 percent.  Some areas scored lower than 80 percent, such as the food by relatives (76.9 percent) and residents (75 percent), answering of call bells by relatives (76 percent).  (Refer criterion 1.2.8.1).  Food is also discussed at the residents meetings and issues raised with the cook.  </w:t>
            </w:r>
          </w:p>
          <w:p w:rsidR="00EB7645" w:rsidRPr="00BE00C7" w:rsidP="00BE00C7">
            <w:pPr>
              <w:pStyle w:val="OutcomeDescription"/>
              <w:spacing w:before="120" w:after="120"/>
              <w:rPr>
                <w:rFonts w:cs="Arial"/>
                <w:b w:val="0"/>
                <w:lang w:eastAsia="en-NZ"/>
              </w:rPr>
            </w:pPr>
            <w:r w:rsidRPr="00BE00C7">
              <w:rPr>
                <w:rFonts w:cs="Arial"/>
                <w:b w:val="0"/>
                <w:lang w:eastAsia="en-NZ"/>
              </w:rPr>
              <w:t>There are Masonic Trust policies and Glenwood facility specific policies in place, all but a few were seen as being current.  The FM stated there is work underway to see if there can be organisational wide policies which meet the needs of all facilities. Policies reviewed cover all necessary aspects of the service and contractual requirements, including reference to the interRAI Long Term Care Facility (LTCF) assessment tool and process with relevant NASC requirements for younger people.  Policies are based on best practice. There is a document control system and footer to ensure a systematic and regular review process, referencing of relevant sources, approval, distribution and removal of obsolete documents.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Glenwood has moved to the reporting of adverse events and near miss events electronically this year as part of the electronic record process.  Staff reported no issue with this system.  A sample of four incidents forms reviewed showed these were fully completed, incidents were investigated, action plans developed and actions followed-up in a timely manner.  Adverse event data is collated, analysed and reported by the FM via the electronic reporting system to the DoN and CE.  Analysis includes identification of individuals with multiple falls, time of fall and other parameters.  Analysis of falls over a few months identified the events occurring in the afternoon and the organisation agreed to the increase in afternoon staff hours.</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essential notification reporting requirements, including for pressure injuries. In July, the lack of RNs was reported to the Ministry of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included interviews, referee checks, police vetting and validation of qualifications and practising certificates (APCs), where required.  A sample of ten staff records (three healthcare assistants, the clinical nurse manager, administration coordinator, two registered nurses, a cook, a support staff member and diversional therapist)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staff orientation which includes use of a workbook with all necessary components relevant to the role and a support person.  Staff who had recently been employed reported that the orientation process prepared them well for their role; this included the new clinical nurse manager.  Staff records reviewed showed documentation of completed orientation and an annual performance review being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calendar of continuing education, including the identified annual compulsory core skills training requirements.  The CNM keeps a list of the annual medication competencies which includes the RNs, clinical nurse manager, enrolled nurses and health care assistants (HCAs), plus there are some HCAs who are trained as ‘second checkers’.  Glenwood have recently moved to online training which has improved uptake which has been hampered by Covid-19 and staffing issues.  Care staff have either completed or commenced a New Zealand Qualification Authority (NZQA) education programme to meet the requirements of the provider’s agreement with the DHB, with an external assessor being used for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of the seven RNs who are trained and competent to undertake interRAI assessments, plus the CNM, with one further RN booked for training in November.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demonstrated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documents which cover staffing, including the Masonic Village Trust staffing policy and two Glenwood hospital policies.  These outline the processes used for determining staffing levels and skill mixes to provide safe service delivery, 24 hours a day, seven days a week (24/7). The FM uses, a well-established tool, determine staffing levels to meet the changing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set roster, managed by the quality coordinator, completed and circulated to staff one month in advance, with agreed annual leave identified and managed.  There is a pool of casual HCAs to assist with unforeseen changes to rosters and HCAs also inform the quality coordinator if they are available for extra work.  Review of a number of weekly rosters confirmed the staffing met the set pattern of the roster.  However, there has been a pattern of sick leave and changes of duties emerging and HCAs reported it is consistently hard to manage the work allocated to them on morning duty, and at times they feel unsafe.  This Is disputed by the senior staff and current rosters show the numbers of staff meeting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a turnover of RNs and in July/August the roster was depleted of RNs to cover the duties which saw the FM, DON and CNM working to ensure coverage.  RNs from other facilities were also used to assist and ensure safety.  The Ministry was notified of this issue.  New RNs are being orientated.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RNs and diversional therapy staff have a current first aid certificate and there is 24 hour a day, seven day a week (24/7) RN coverage in the hospital.  Afterhours the CNM is on call.  Residents and family interviewed were happy with the care provided. There were no comment expressing concerns about the level of staffing.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are legible with the name and designation of the person stamped beside the entry.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They are then transferred to an offsite storage unit and kept for the required length of time before being destroyed.  </w:t>
            </w:r>
          </w:p>
          <w:p w:rsidR="00EB7645" w:rsidRPr="00BE00C7" w:rsidP="00BE00C7">
            <w:pPr>
              <w:pStyle w:val="OutcomeDescription"/>
              <w:spacing w:before="120" w:after="120"/>
              <w:rPr>
                <w:rFonts w:cs="Arial"/>
                <w:b w:val="0"/>
                <w:lang w:eastAsia="en-NZ"/>
              </w:rPr>
            </w:pPr>
            <w:r w:rsidRPr="00BE00C7">
              <w:rPr>
                <w:rFonts w:cs="Arial"/>
                <w:b w:val="0"/>
                <w:lang w:eastAsia="en-NZ"/>
              </w:rPr>
              <w:t>No personal or private resident information was on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Glenwood following assessment from the NASC (Focus), as requiring the level of care that Glenwood provides.  Prospective residents and their families are encouraged to visit the facility prior to admission and are provided with written information about the service.  All residents prior to admission have a Covid-19 screen and the facility are guided by MOH guidelines.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they were happy with the admission process and the information that had been provided to them.  Files reviewed contained the completed demographic information, assessments, and signed admission agreements in accordance with the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Wairarapa DHB ‘Yellow envelope’ system to facilitate the transfer of residents to and from acute care settings.  There is open communication between all services, the residents, and the family.  At the time of transition between services, appropriate information, including medication records and the care plan, is provided for ongoing management of the resident.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An RN and carer check the medications against the prescription, then sign and dates each pack into the electronic system. All medications sighted were within current use by dates. Clinical pharmacist input is provided as required.  Controlled drugs are stored securely in accordance with requirements and checked by two staff for accuracy when administering. The controlled drug register provided evidence of weekly stock checks and accurate entries.  Controlled drugs are signed in and a pharmacy check is carried out every six months and this was evidenced in the controlled drug register.</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were reviewed and were within the recommended range.  The medication room also had temperature checks taken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noted. These included the prescriber’s signature and date recorded on the commencement and discontinuation of medicines and all requirements for pro re nata (PRN) medicines met.  The required three-monthly GP review was consistently recorded on the medicine chart.  There are standing orders in place and very occasionally verbal orders will be used until it can be charted electronically.  Vaccines are not stored on site.   The required Covid-19 vaccines have been given to both staff and residents except for those who did not want to be vaccinated. At the time of the audit there were no residents, self-administering medications, there is a policy and process in place should this occur.</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with a cook and kitchen team and is in line with recognised nutritional guidelines for older people.  The menu follows summer and winter patterns and was reviewed by a qualified dietician in September 2021 with all recommendations signed off.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Masterton District Council District Council.  At time of audit, the kitchen was observed to be clean, and the cleaning schedule was maintained.</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including for high-risk items, are monitored, and recorded as part of the plan using an electronic database.</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Any special diets and modified texture requirements are made known to kitchen staff and accommodated in the daily meal plan.  The kitchen provides a varied menu which supports residents with specific cultural food requirements.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families/whānau interviews, satisfaction surveys and in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resident does not meet the entry criteria, there are no vacancies, or the referral has been declined from the service due to inappropriate referral from Focus, there is a process in place to ensure that the prospective resident and family are supported to find an appropriate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the resident change and they are no longer suitable for the services offered a referral for reassessment is made to Focus and a new placement is found in consultation with the resident and the whanau/family.  This process was discussed with the facility manager (FM).  </w:t>
            </w:r>
          </w:p>
          <w:p w:rsidR="00EB7645" w:rsidRPr="00BE00C7" w:rsidP="00BE00C7">
            <w:pPr>
              <w:pStyle w:val="OutcomeDescription"/>
              <w:spacing w:before="120" w:after="120"/>
              <w:rPr>
                <w:rFonts w:cs="Arial"/>
                <w:b w:val="0"/>
                <w:lang w:eastAsia="en-NZ"/>
              </w:rPr>
            </w:pPr>
            <w:r w:rsidRPr="00BE00C7">
              <w:rPr>
                <w:rFonts w:cs="Arial"/>
                <w:b w:val="0"/>
                <w:lang w:eastAsia="en-NZ"/>
              </w:rPr>
              <w:t>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Glenwood are assessed using a range of nursing assessment tools, such as pain scale, falls risk, skin integrity, cognition and behaviour, nutrition, and activities, to identify any deficits and to inform initial care planning.  Within three weeks of admission, residents are assessed using the interRAI assessment tool, to inform long term care planning.  Reassessment using the interRAI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Interviews, documentation, and observation verified the RNs are familiar with requirements for reassessment of a resident using the interRAI assessment tool when a resident has increasing or changing needs.  All residents have current interRAI assessments completed by one of the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at Glenwood are paper based. They are in the process of changing over to an electronic patient management system.  When reviewed, they reflected the support needs of the residents, and the outcomes of the integrated assessment process and other relevant clinical information.  In particular, the needs identified by the interRAI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written, informative and relevant.  Any change in care required was documented and verbally passed on to relevant staff.  Residents and family/whanau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with residents and families verified that the care provided to the residents was consistent with their needs, goals and plan of care.  The attention to meeting a diverse range of residents’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interviewed confirmed that medical orders are carried out in a timely manner and staff were very proactive at contacting the GP should a resident’s condition change.  Care staff confirmed that care was provided as outlined in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were available and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for the rest home and hospital is provided by two part-time diversional therapists and one part-time activities assistant 9.30 am – 5.00 pm seven days per week.  The programme activities are developed to meet the needs of the residents and in accordance with Covid-19 restrictions.  The activities assistant is currently completing their diversional therapist qualification supported by the diversional therapist.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assessment is completed on admission to ascertain the resident’s needs, interests, abilities, and social requirements.  Activities assessments are regularly reviewed to help formulate a plan that is meaningful to the resident.  The activities programme is evaluated at the residents’ meetings. This ascertains residents’ likes and dislikes.  There is regular documentation in each resident’s progress notes all of which form part of the six-month multidisciplinary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Support is provided to support the Māori resident with activities culturally appropriate for them.  It is the aim of the diversional therapists to get the residents engaging in the community as much as Covid-19 restrictions allow. There is a facility van available for drives on a weekly basis for both rest home and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the residents’ goals, ordinary patterns of life and included normal community activities, regular church services, knitting and visiting entertainers, pet therapy, and a walking group.  Hospital and rest home residents have the same monthly activity programme.  There are several lounge areas, as well as the individual’s bedrooms where they can watch their own television or listen to the radio.  The Activities Calendar is on display and each resident is given a copy of the monthly activities available for them to participate in.  It emphasises and celebrates cultural beliefs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can evaluate the programme through day-to-day discussions with the activities co-ordinator and by completing the six-monthly resident satisfaction survey and the six monthly multi-disciplinary team meeting.   Residents and families interviewed confirmed the programme was interesting and varied.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each shift and reported on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 monthly interRAI/clinical reassessment or as the residents’ needs change.  Evaluations are documented by the RN.   Where progress is different from that expected, the service responds by initiating changes to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consistently reviewed for infections, pain, weight loss, and progress evaluated as clinically indicated and according to the degree of risk noted during the assessment process.  Other plans, such as wound management plans, were evaluated each time the dressings were changed.  Residents and families/whanau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two main medical providers, residents may choose to use another medical practitioner.  If the need for other non-urgent services is indicated or requested, the GP/NP sends a referral to seek specialist input.  Copies of referrals were sighted in the residents’ files, including to the wound care nurse.  The resident and the family/whanau are kept informed of the referral process, as verified by documentation and interviews.  Any acute/urgent referrals are attended to immediately, such as ringing an ambulance if the situation dictates.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waste management policy and procedure which includes separation of waste, hazardous waste (clinical waste) and chemicals.  Staff follow the documented processes.  Waste is safely stored ready for removal by an external contracted company, cardboard is being recycled.  Appropriate safe storage and signage is displayed for the liquid petroleum gas bottles.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to supply and manage laundry, cleaning and kitchen products and staff have received appropriate training for these as sighted in staff files and confirmed by staff interviewed.  The chemical used in the dirty utility room was being stored under shelfs in the room and not in the locked chemical storeroom.  This was rectified during the audit.  Material safety data sheets were available where chemicals are stored, and staff interviewed knew what to do should any chemical spill/event occur.  Spill kits were sighted in the dirty utility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provision and availability of personnel protective equipment (PPE) (gloves, masks, face shields, gowns, nitrate gloves, goggles) and staff were observed using masks, aprons and gloves.  There is a large store of PPE available to staff in the event of a move in the Ministry Covid-19 alert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July 2022) was publicly displayed.  Maintenance required for the warrant is being undertaken.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 environment was hazard free and residents’ safety was promoted.  Personalised equipment is available for the younger residents with disabilities to meet all their mobility and equipment needs. </w:t>
            </w:r>
          </w:p>
          <w:p w:rsidR="00EB7645" w:rsidRPr="00BE00C7" w:rsidP="00BE00C7">
            <w:pPr>
              <w:pStyle w:val="OutcomeDescription"/>
              <w:spacing w:before="120" w:after="120"/>
              <w:rPr>
                <w:rFonts w:cs="Arial"/>
                <w:b w:val="0"/>
                <w:lang w:eastAsia="en-NZ"/>
              </w:rPr>
            </w:pPr>
            <w:r w:rsidRPr="00BE00C7">
              <w:rPr>
                <w:rFonts w:cs="Arial"/>
                <w:b w:val="0"/>
                <w:lang w:eastAsia="en-NZ"/>
              </w:rPr>
              <w:t>There are multiple external areas that are safely maintained and were appropriate to the resident groups and setting.  Younger people with disabilities can access all areas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maintenance books to report any issues identified. This showed a good response to issues raised.  Staff confirmed they know these processes and confirmed a timely response.  Residents and family members were very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ensuites, twelve shared facilities between two rooms, plus toilets available around the facility for residents and separate staff and visitor toilets.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 areas, and other equipment and 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Rooms are of a good size. Personal space is provided to allow residents and staff to move around, including with the use of equipment, such as hoists and walkers, within their bedrooms safely.  All bedrooms provided are currently single accommodation.  The FM spoke of some rooms that could be used for couples who wished to share a room.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are storage areas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multiple communal areas available for residents to engage in activities.  The dining and lounge areas are spacious and enable easy access for residents and staff.  Residents can access areas for privacy, if required.  Furniture is appropriate to the setting and residents’ needs.  There is one younger resident, who has their needs catered for, with specific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in a dedicated laundry.  Support staff provide the service and demonstrated a sound knowledge of the laundry processes, dirty/clean flow and handling of soiled linen.  Residents’ clothing is managed inhouse and processes are in place to manage these.  Residents interviewed reported the laundry is managed well and their clothes are returned in a timely manner.  One residents’ meeting minutes reviewed identified an issue with a lost item but this was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These staff undertake appropriated training, and this was as confirmed in interview of cleaning staff and from training records.  Trolleys used for cleaning were stored in a lockable cupboard and chemicals were in appropriately labelled containers.  The dirty utility rooms were observed to need a clean and review of contents, which was undertaken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guidelines and flip charts for emergency planning, preparation and response were displayed and known to staff.  This includes preparation for disasters and described the procedures to be followed in the event of a fire or other emergency. The service’s emergency plan considers the special needs of younger people with disabilities.  The current fire evacuation plan was approved by the New Zealand Fire and Emergency Service on the17 December 2020.  A trial evacuation takes place six-monthly with a copy sent to the New Zealand Fire Service, the most recent being on September 2021. </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fire and security training.  RNs are all fire wardens and receive training for this as part of their orientation.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30,000 litre water storage tanks for washing, as well as bottled water for drinking, blankets, mobile phones and gas BBQ’s were sighted and meet the National Emergency Management Agency recommendations for the region.  There is an agreement with a local firm for a generator to be brought onto the site when required, as confirmed by the CE.  There are torches available for emergency lighting.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Residents and families reported some issues with staff responding promptly to call bells (see CAR 1.2.8.1).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the RN on duty ensures these are secure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some rooms and all care suites have doors opening on to outside patio areas.  Heating is provided by large air conditioning units which provide heated radiators in residents’ rooms in the communal areas. Some areas have wall mounted heat pumps.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Glenwood implements an infection prevention and control programme which is appropriate for the size and complexity of the service.  A comprehensive and current infection control manual is available to staff and managers. There is evidence that formal reviews of the programme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infection prevention and control co-ordinator, whose role and responsibilities are defined in a job description. Infection control matters, including surveillance results, are reported through to management. Infection prevention and control matters are also discussed at registered nurse meetings, staff handovers, staff meetings and ultimately at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 and confirmed this had been further reinforced since the Covid-19 pandemic.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has the appropriate skills, knowledge and qualifications for the role.  Additional support and information can be accessed from the infection control team at the DHB, the community laboratory, the GP/NP and the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There is a Covid-19 management plan in place which details all the actions required by the service streams within the facility in response to each of the alert levels.  The ICN and clinical manager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policies reflected the requirements of the IPC standard and current accepted good practice.  Policy review is ongoing and clearly documented on each policy the next review date.  Care delivery, cleaning, laundry and kitchen staff were observed following organisational policies, such as appropriate use of hand sanitisers, good hand-washing technique and use of disposable aprons and gloves, as was appropriate to the setting.  Hand washing and sanitiser dispensers are distributed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on infection prevention and control at orientation and in ongoing education sessions.  Education is provided by suitably qualified RNs and the IPC coordinator.  Content of the training is documented and evaluated to ensure it is relevant, current and understood.  A record of attendance is maintained.  At the time of the audit there had been no recent infection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respiratory tract and skin infections.  When an infection is identified, a record of this is documented in the resident’s clinical record. The IPC coordinator reviews all reported infections, and these are documented.  New infections and any required management plans are discussed at shift handovers,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at meetings and during shift handovers.  A good supply of personal protective equipment was available, and Glenwood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new Masonic Trust policies and procedures and a Glenwood Hospital restraint minimisation policy both of which meet the requirements of the restraint minimisation and safe practice standards and provide guidance on the safe use of both restraints and enablers.  The CNL is the restraint coordinator and provides support and oversight for enabler and restraint management in the facility. The CNL demonstrated a sound understanding of the organisation’s policies, procedures and practice and their role and responsibilities, which are defined in the role description.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seven residents were using restraints. No residents were using enablers. Enablers, when used, are the least restrictive and residents consent to their use.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use at the quality, health and safety, management meetings minutes, from files reviewed, and from interviews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restraints approved for use are documented in the policy documents.  The restraint coordinator’s job description outlines the role and responsibilities.  Each restraint to be used is approved by the resident and/or whānau/EPOA, general practitioner or nurse practitioner and the restraint coordinator, using the Glenwood consent for use of restraint/enabler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evident from review of the quality, health and safety, management group meeting minutes, review of two residents’ files and interviews with the coordinator that there were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whānau/EPOA involvement in the decision making was on file in each case. Use of a restraint or an enabler is always part of the plan of care and ongoing reporting.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restraints were documented on the Glenwood restraint assessment form which included all requirements of the Standard.  The RN or CNL undertakes the initial assessment, with input from the resident’s whānau/EPOA. The CNL interviewed described the documented process.  The general practitioner or nurse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two residents’ records reviewed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CNL described how alternatives to restraints are discussed with staff and family members.  They described the use of sensor mats and low beds being tried first.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All processes ensure dignity and privacy are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showed how two residents were no longer requiring the use of a restraint for their safety.  The register was reviewed and contained all residents currently using a restraint and enough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files showed that the individual use of restraints is reviewed and evaluated during care plan and interRAI reviews, at least six monthly.  There is a Glenwood restraint evaluation form used which meets the requirements of the standard including future options to eliminate use, the impact and outcomes achieved, if the policy and procedure was followed and documentation completed as required.  The form is signed off by the CNL, GP or nurse practitioner and discussed with the resident, whānau/EPOA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CNL, when taking on the restraint coordinator role, undertook a review of all restraint in use which included all the requirements of this Standard.  The quality, health and safety, management group meeting minutes showed restraint use being discussed; however, no documentation of a review of systems was sighted. This was discussed with the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Six monthly restraint meetings and reports are completed, and individual use of restraint use is reported to the quality and staff meetings.  The FM reports on restraint use in her monthly report to the DoN and CE which allows for analysis and trending.  Six monthly restraint audits are scheduled.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CNL and review of the restraint register confirmed that the use of restraint has been reduced by two since the CNL took over the role.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Masonic Care Limited - Glenwood Masonic Hospital</w:t>
    </w:r>
    <w:bookmarkEnd w:id="58"/>
    <w:r>
      <w:rPr>
        <w:rFonts w:cs="Arial"/>
        <w:sz w:val="16"/>
        <w:szCs w:val="20"/>
      </w:rPr>
      <w:tab/>
      <w:t xml:space="preserve">Date of Audit: </w:t>
    </w:r>
    <w:bookmarkStart w:id="59" w:name="AuditStartDate1"/>
    <w:r>
      <w:rPr>
        <w:rFonts w:cs="Arial"/>
        <w:sz w:val="16"/>
        <w:szCs w:val="20"/>
      </w:rPr>
      <w:t>10 November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