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Walmsley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Walmsley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November 2021</w:t>
      </w:r>
      <w:bookmarkEnd w:id="7"/>
      <w:r w:rsidRPr="009418D4">
        <w:rPr>
          <w:rFonts w:cs="Arial"/>
        </w:rPr>
        <w:tab/>
        <w:t xml:space="preserve">End date: </w:t>
      </w:r>
      <w:bookmarkStart w:id="8" w:name="AuditEndDate"/>
      <w:r w:rsidR="00A4268A">
        <w:rPr>
          <w:rFonts w:cs="Arial"/>
        </w:rPr>
        <w:t>2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Walmsley House provides care for up to 31 rest home residents.  On the day of the audit there were 29 residents.  The facility is part of Presbyterian Support Southland Enliven.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nurse practitioner, and management.  </w:t>
      </w:r>
    </w:p>
    <w:p w:rsidRPr="00A4268A">
      <w:pPr>
        <w:spacing w:before="240" w:line="276" w:lineRule="auto"/>
        <w:rPr>
          <w:rFonts w:eastAsia="Calibri"/>
        </w:rPr>
      </w:pPr>
      <w:r w:rsidRPr="00A4268A">
        <w:rPr>
          <w:rFonts w:eastAsia="Calibri"/>
        </w:rPr>
        <w:t>The manager (registered nurse) has recently been appointed in the permanent appointment of manager since October 2021.  She was the interim manager prior to the appointment from August 2020.  The manager has previous experience in aged care working for Presbyterian Support Southland in registered nurse and clinical management positions.  The manager is supported by enrolled nurses, a team of long- standing experienced staff, the quality manager and director of Enliven services.  Residents and relatives interviewed were very complimentary of the services and care they receive.</w:t>
      </w:r>
    </w:p>
    <w:p w:rsidRPr="00A4268A">
      <w:pPr>
        <w:spacing w:before="240" w:line="276" w:lineRule="auto"/>
        <w:rPr>
          <w:rFonts w:eastAsia="Calibri"/>
        </w:rPr>
      </w:pPr>
      <w:r w:rsidRPr="00A4268A">
        <w:rPr>
          <w:rFonts w:eastAsia="Calibri"/>
        </w:rPr>
        <w:t xml:space="preserve">The service has not yet addressed two shortfalls identified at the previous certification relating to identifying opportunities to minimise risks through incident reporting and to completion of assessments.   </w:t>
      </w:r>
    </w:p>
    <w:p w:rsidRPr="00A4268A">
      <w:pPr>
        <w:spacing w:before="240" w:line="276" w:lineRule="auto"/>
        <w:rPr>
          <w:rFonts w:eastAsia="Calibri"/>
        </w:rPr>
      </w:pPr>
      <w:r w:rsidRPr="00A4268A">
        <w:rPr>
          <w:rFonts w:eastAsia="Calibri"/>
        </w:rPr>
        <w:t>This surveillance audit identified a further three shortfalls in this audit to the following: timeframes for completion of assessment and care plans, monitoring of interventions, the activities programme and to completion of documentation related to medication.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manager is responsible for the day-to-day operations, and is supported by the Enliven organisational team, enrolled nurses, and experienced care staff.  Goals are documented for the service with evidence of regular reviews.  A quality and risk management programme is documented.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There is a roster that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manager and enrolled nurses under supervision, are responsible for care plan documentation.  InterRAI assessments and care plans are documented.  Care plan reviews are completed in a timely manner.  Resident activities are provided.  The service uses an electronic medication management system.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planned and reactive maintenance programme in place.  Residents can freely mobilise within the facility.  The communal areas are easily accessible for all residents.  There is safe access to the outdoors, which provides seating and shade for residents to enjoy.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Walmsley House remains restraint free.  Training is provided to staff around restraint and challenging behaviours.  There were no residents using restraints or enablers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Walmsley House continues to implement their infection surveillance programme.  Infection control issues are discussed at both in the infection control and quality/staff meetings.  The infection control programme is linked with the quality programme.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One complaint has been received since the last audit in 2020, there has been no complaints in 2021 year to date.  Documentation and correspondence reflected evidence of responding to the complaints in a timely manner with appropriate follow-up actions taken.  Staff interviewed (one enrolled nurse, two care workers, and the cook) confirmed that complaints and any required follow-up is discussed at staff meetings as sighted in the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documentation requiring changes to care planning are signed by staff once read.  Residents and relatives advised that they are aware of the complaints procedure and how to access forms.  The residents and relatives all stated they felt comfortable discussing concerns with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forward to the service from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Four residents interviewed stated that they were welcomed on entry and were given time and explanation about the services and procedures.  The manager (registered nurse) and enrolled nurses are available to residents and relatives and they promote an open-door policy.  Incident forms reviewed for September and October 2021 evidenced that relatives had been notified on all occasions.  Two relatives interviewed advised that they are notified of incidents and when residents’ health status changes promptly.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Walmsley provides care for up to 31 rest home residents.  On the day of audit, there were 29 residents including one resident under 65 on a long-term service – chronic health care (LTS-CHC) contract, one resident on a younger person with a disability (YPD) contract and one resident on respite care funded by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The quality plan for 2020 to 2023 documents each goal with initiatives and key performance targets to be implemented.  The manager is responsible for the implementation of the quality programme at Walmsley House.  The service has an annual planner/schedule, which includes internal audits, meetings, and education.  The strategic plan, business plan and quality plan all include the philosophy of support for PSS.  The management group of Enliven provide governance and support to the chief executive of PSS who in turn supports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Walmsley House have repurposed the previous hairdressing room to a nurses’ station overlooking the resident’s lounge.  There is a new storage area outdoors for mobility scooters and they are in the process of changing over to a new electronic resident management system the BWARE electronic health and safety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been in the interim manager role since August 2020 and has been employed in the permanent position since 1 October 2021.  The manager has 17 years’ experience in aged care with PSS and has held registered nurse and clinical manager roles.  The manager is supported by the Enliven quality manager (present on the days of the audit), an administration assistant, two enrolled nurses (one of whom is interRAI trained), and long-standing experienced staff.  The manger reported low staff turnover.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attended an infection control education day through the district health board, she attends PSS management and clinical management days, and Aged Residential Care (ARC)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an organisational quality and risk management programme documented.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as sighted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collates and evaluates a comprehensive range of quality and risk data, which is benchmarked with sister Presbyterian support services in the South Island.  The service has also engaged with a national organisational benchmarking platform.  There is an internal audit schedule in place, with evidence of internal audits occurring as per the audit schedule.  Corrective actions are implemented for audits as needed with issues resolved in a timely manner.  The service collates incidents and accidents and infection control outcomes and implements action plans when the service falls outside the industry norm.  Quality data is discussed at the combined staff/quality/infection control and health and safety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satisfaction surveys are held.  The 2021 survey evidenced residents and the relative who responded were overall satisfied with the service.  Corrective action plans have been developed for areas of low satisfaction including food services and activities.  Comments around what the service does well included satisfaction with the staff and management, entertainers who visit, and described Walmsley House as ‘a friendly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an organisational health and safety coordinator.  The health and safety representative for Walmsley House (enrolled nurse) was interviewed.  The health and safety coordinator attends all facility health and safety meetings to ensure consistency across the sites and reports on organisations topics, the health and safety representative reports on site-specific topics.  The organisation has implemented the BWARE electronic health and safety/hazard management system since 1 October 2021.  All hazard management and staff incidents are collated on this system.  Staff wellness is a focus for the health and safety committee.  The health and safety representative provides a monthly report.  The health and safety coordinator collates all organisational data and reports to the Board.  Health and safety training is completed during orientation to the service and is included in the annual education planner.  Staff competencies include fire training, manual handling and hoist training, and chemical safety.  The hazard register is available to staff electronically, and hard copies are available at reception and the nurses’ stations.  Fall prevention strategies are implemented specific to resident needs.  Staff interviewed described falls preventions strategies used including the use of sensor mats and increased intentional rounding.  Fall prevention strategies are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combined staff meeting.  Incident forms are completed electronically by staff and the resident is reviewed by the manager or enrolled nurse (when on duty).  The manager is contacted if out of hours.  Neurological observations are performed if there is uncertainty around a head injury.  Ten incident forms reviewed identified registered nurse follow-up.  Relatives have been notified of all incidents (with residents’ permission).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Opportunities to minimise the risk of future incidents (where possible) were identified and the previous shortfall identified at the certification audit has been addressed.  Minutes of the combined quality/staff meetings reflect a discussion of incident statistics and analysis.  The care workers interviewed could discuss the incident reporting process, and how to manage emergencies when a nurse is not available, however, one resident file reviewed did not have all incidents recorded in on the electronic incident charts. While the issue identified in the previous audit around taking opportunities to minimise risks through the incident reporting system has been addressed, the shortfall identified at the certification audit has not been addressed as there are issues relating to documentation of incidents at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both the manager and quality manager confirmed that there is an awareness of the requirement to notify relevant authorities in relation to essential notifications.  There have been two section 31 notifications made since the previous audit.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(one enrolled nurse, three caregivers and one cook).  The managers file was reviewed around education only.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There is evidence in the managers and enrolled nurse files of attendance at the DHB and hospice external training.  A competency programme is in place that includes annual medication competency for staff administering medications.  Core competencies are completed including medication, infection control, manual handling, fire, and emergency management, and first aid.  A record of completion is maintained and signed.  Competency questionnaires were sighted in reviewed files.  The manager and an enrolled nurse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confirmed participation in the Careerforce training programme. Currently there are five care workers who have completed level 4, five who have completed level 3, and a cleaner has completed level 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rationale for determining staffing levels and skill mixes in order to provide safe service delivery.  PSS employs a nurse practitioner to support the clinical team. </w:t>
            </w:r>
          </w:p>
          <w:p w:rsidR="00EB7645" w:rsidRPr="00BE00C7" w:rsidP="00BE00C7">
            <w:pPr>
              <w:pStyle w:val="OutcomeDescription"/>
              <w:spacing w:before="120" w:after="120"/>
              <w:rPr>
                <w:rFonts w:cs="Arial"/>
                <w:b w:val="0"/>
                <w:lang w:eastAsia="en-NZ"/>
              </w:rPr>
            </w:pPr>
            <w:r w:rsidRPr="00BE00C7">
              <w:rPr>
                <w:rFonts w:cs="Arial"/>
                <w:b w:val="0"/>
                <w:lang w:eastAsia="en-NZ"/>
              </w:rPr>
              <w:t>Walmsley House has staffing levels that reflect the needs of the residents.  The nurse manager and the enrolled nurse work 40 hours per week and are available on-call for any emergency issues or clinical support.  There is always one senior care worker (team leader) on duty with a current first aid certificate, medication competency and fire warden training.</w:t>
            </w:r>
          </w:p>
          <w:p w:rsidR="00EB7645" w:rsidRPr="00BE00C7" w:rsidP="00BE00C7">
            <w:pPr>
              <w:pStyle w:val="OutcomeDescription"/>
              <w:spacing w:before="120" w:after="120"/>
              <w:rPr>
                <w:rFonts w:cs="Arial"/>
                <w:b w:val="0"/>
                <w:lang w:eastAsia="en-NZ"/>
              </w:rPr>
            </w:pPr>
            <w:r w:rsidRPr="00BE00C7">
              <w:rPr>
                <w:rFonts w:cs="Arial"/>
                <w:b w:val="0"/>
                <w:lang w:eastAsia="en-NZ"/>
              </w:rPr>
              <w:t>Care workers interviewed reported that there is sufficient staff rostered to meet the resident needs, that they were able to complete the work allocated to them and that staff are replaced when sick, and they feel there is a good team culture amongst staff.  Residents and relatives stated they felt call bells were answered within acceptable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has one enrolled nurse across seven days from 6.45 am to 3.15 pm.  They are supported by two care workers rostered 1x 7 am to 3 pm and 1x 7 am to 1.30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two care workers, (one senior) from 2.45 pm to 11.15 pm, and one care worker from 3.15 pm to 11.15 pm.  There are two care workers on duty overnight.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PSD Walmsley House have implemented an electronic medication management system.  They deliver all medicines in robotic rolls for regular medication and blister packs for ‘as required’ medications.  Medications were checked and signed on arrival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enrolled nurse and senior care workers are assessed as medication competent to administer medication.  The registered nurse has completed syringe driver training.  Standing orders were not in use.  The medication fridge and room temperatures have been monitored daily and temperatures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files were reviewed.  Medication reviews were completed by the nurse practitioner three monthly.  PRN medications were prescribed correctly with indications for use.  Medications are stored securely in the locked nurses’ station.  Controlled drug medications are appropriately stored; however, weekly checks have not always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were self-medicating inhalers, which were stored appropriately in the residents’ rooms.  Competencies were in place and were reviewed three-monthly by the nurse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centrally located kitchen and all food is cooked on site.  There is a food services manual in place to guide staff.  There are two cooks who have food handling certificates and considerable cooking experience.  Food is served from the kitchen to the dining area adjacent to it.  A current food control plan is in place expiring in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The organisational four weekly menu has been reviewed by a registered dietitian.  Residents have had a nutritional profile developed on admission which identifies dietary requirements and likes and dislikes.  This is reviewed six-monthly as part of the care plan review or sooner if required.  The cook interviewed is aware of changes in resident’s nutritional needs and was knowledgeable around the current nutritional requirements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fridge/freezer temperatures and food temperatures were undertaken and documented and were within acceptable ranges.  All food is stored appropriately.  There is special equipment available for residents if required.  The residents survey evidenced overall satisfaction with food services. In 2020 there were 20 respondents who rated food services as either excellent or good. In 2021, 10 residents rated the food services as good, with no excellent results.  The residents interviewed on the day of the audit, were over all satisfied with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each resident’s progress is documented in electronic notes.  Changes are followed up by the registered nurse.  When a resident's condition alters, the registered nurse initiates a review and if required, a consultation with the nurse practitioner or referral to the appropriate health professional is initiated.  Relatives interviewed during the audit confirmed they are notified of any changes to the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Electronic wound documentation was reviewed for previous wounds (as no current wounds on the day of the audit) and included wound assessment, wound plans, short-term care plans and evaluations.  The nurses interviewed described referrals to the DHB wound care nurse for complex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specialist continence advice is available as needed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a resident’s progress and response to interventions including bowel charts, blood pressure, pulse, temperature and respirations, blood sugar levels, pain monitoring, weights, food and fluid, fluid input and output charts, turning charts, behaviour charts and neurological observations, however, these are not always completed according to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no activities coordinator appointed at Walmsley House.  One care worker provides activities for the residents to participate in when she is on duty, otherwise the staff provide activities as able.  One of the enrolled nurses takes the residents on outings with the van to the shops, or out for a drive periodically.  Celebrations are celebrated including afternoon teas for mothers’ day, Halloween, and Melbourne Cup.  There is no set activities plan, the general routine is the residents prefer to watch game shows in the mornings, and group games or activities are provided in the afternoons.  The PSS Pastor visits the facility on a regular basis to take church services.  Due to Covid-19, entertainers are not able to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 with residents and relatives, the residents talked about the activities they used to do which included regular entertainers, relatives stated ‘there doesn’t seem to be much on some days.’  The nurse practitioner mentioned a slight decline in residents’ social interests since the activity’s coordinator had left.  The satisfaction surveys evidenced a decline of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there is no designated activities coordinator, residents’ activities plans have not always been documented or individualised.  Residents who have been in the facility for more than six months have an assessment and plan documented, however these were not always individualised.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not always evaluated by the RN within three weeks of admission and long-term care plans developed (link 1.3.3.3).  Long-term care plans have been evaluated by the registered nurse six monthly, using the interRAI tool or earlier for any health changes for files reviewed.  Care plan reviews evidence progression towards meeting goals.  The nurse practitioner reviews the residents at least three-monthly or earlier if required.  Ongoing nursing evaluations occur as indicated and are documented within the progress notes or the care plan.  The acute plans of care have been reviewed and evaluated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28 January 2022.  The maintenance person is based at a sister facility in Invercargill and works six hours a week at Walmsley House, three hours Tuesday and three hours on a Friday.  There is a maintenance request book located at reception for repair and maintenance requests.  This is checked regularly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and gardens were well maintained.  Outdoor areas had seating and shaded areas available.  There is safe access to all communal areas.  Care staff interviewed stated they have adequate equipment to safely deliver care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Walmsley House continue to implement their infection surveillance programme.  Individual electronic infection alert forms were completed for all infections.  Infections were included on the monthly report and graphs were completed by the infection control coordinator (manager).  Infection control (IC) issues were discussed at the combined quality and staff meetings.  The PSS organisational IC programme is linked with the quality programme PSS benchmark internally against other facilities in the organisation, and against national organisations.  Walmsley House benchmarking data evidenced the service is under the benchmark for all performance indicators.  In-service education is provided annually and in toolbox talks when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which have been implemented around hazardous waste, personal protective equipment was in place in the sluice rooms and laundry.  Care workers could easily describe infection control precautions used when attending to caring and laundry duties.  Washing machines are all temperature set by the manufacturer.  Chemicals are premixed by the chemical suppler, which are used appropriately for disinfection of commode bowls, and shared equipment.  Staff have been trained in the correct procedure around donning and doffing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Walmsley House have isolation kits and adequate supplies of personal protective equipment available to staff.  Training sessions have been completed around Covid-19.  There are policies and procedures in place which are implemented.  This audit was conducted during lockdown level 2.  All visitors and contractors are required to wear a mask, hand sanitise, complete a wellness declaration and scan in using the MOH app.  Visitors are using an appointment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The manager is the restraint coordinator.  There are currently no residents using restraint or enablers at Walmsley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Restraint/enabler and challenging behaviour training has been provided annually.  Care workers interviewed could fluently describe the differences between restraint and enablers and procedures around these.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6"/>
        <w:gridCol w:w="1280"/>
        <w:gridCol w:w="5972"/>
        <w:gridCol w:w="2501"/>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files were reviewed including one resident on respite.  Four of the five long term resident files reviewed included evidence of appropriate incident reporting on the electronic system, however on review of the progress notes of one long term resident file, it was evident that not all incidents were reported on an incident report as per policy.  When incident forms are completed, there are now opportunities taken to minimise risks. The previous shortfall around incident reporting has not been addressed and the risk rating has been increased from low to moderate in this report.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with challenging behaviours had behaviours, verbal aggression and physical altercations with residents well documented in the progress notes, however, these were not recorded according to policy on an electronic incident report.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incidents are recorded on incident reports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were appropriately stored, prescribed and administered.  Entries in the controlled drug register were documented correctly, however, weekly checks of controlled drugs were not always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checks of the controlled drug book have not consistently been completed with gaps of 11 days noted between checks.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weekly checks are completed and recorded appropriately in the controlled drug register.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interRAI reassessments are currently up to date, and there were no outstanding reassessments required on the day of the audit.  One initial interRAI assessment was not completed within expected timeframes. This was identified as a shortfall at the previous audit.  The risk rating has been raised from a low to moderate at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resident and four of the five long term resident files reviewed contained an initial assessment completed on admission to the service.  All long-term resident files had a long-term care plan documented on the electronic system (either the new system or the previous, which is still accessible), however, not all long-term care plans were completed within expected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initial interRAI assessment was not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Two long term care plans were not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initial assessment was not located for one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all initial assessments, interRAI assessments and long-term care plans are completed within expected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electronic monitoring forms are accessible for the nurses to initiate; however, these were not always utilised according to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Daily observations were not consistently documented for a resident as instructed in a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ii) Behaviour monitoring charts were not completed for a resident with challenging behaviours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No individualised triggers or de-escalation strategies were documented in a care plan for a resident with challenging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all monitoring charts are utilised and maintained according to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designated activity coordinator or person responsible for activities at Walmsley House resulting in activities documentation not being completed or reviewed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resident is active with assisting setting tables and other jobs within the home, this was not evident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  Two residents’ files did not evidence a documented activity assessment or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activity plans reviewed were not individualised to specific residents’ individual preferences.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all residents have an individualised activities assessment and care plan documented within expected timeframes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Walmsley House</w:t>
    </w:r>
    <w:bookmarkEnd w:id="58"/>
    <w:r>
      <w:rPr>
        <w:rFonts w:cs="Arial"/>
        <w:sz w:val="16"/>
        <w:szCs w:val="20"/>
      </w:rPr>
      <w:tab/>
      <w:t xml:space="preserve">Date of Audit: </w:t>
    </w:r>
    <w:bookmarkStart w:id="59" w:name="AuditStartDate1"/>
    <w:r>
      <w:rPr>
        <w:rFonts w:cs="Arial"/>
        <w:sz w:val="16"/>
        <w:szCs w:val="20"/>
      </w:rPr>
      <w:t>1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