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 Court Lifecare Limited - Elms Court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 Court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 Court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November 2021</w:t>
      </w:r>
      <w:bookmarkEnd w:id="7"/>
      <w:r w:rsidRPr="009418D4">
        <w:rPr>
          <w:rFonts w:cs="Arial"/>
        </w:rPr>
        <w:tab/>
        <w:t xml:space="preserve">End date: </w:t>
      </w:r>
      <w:bookmarkStart w:id="8" w:name="AuditEndDate"/>
      <w:r w:rsidR="00A4268A">
        <w:rPr>
          <w:rFonts w:cs="Arial"/>
        </w:rPr>
        <w:t>11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proposed to add residential disability services (YPD) to their certificate.  This surveillance audit verified that the service is suitable to provide the level of care required.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Elms Court Lifecare is privately owned and operated since January 2019.  The service provides care for up to 32 rest home and hospital (geriatric and medical) level care residents.  At the time of the audit there were 30 residents in total. </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Standards and a subset of the contract with the district health board.  The audit process included a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 xml:space="preserve">The manager is a registered nurse, and she is supported by the owner/director and administrator.  Residents and relatives interviewed were complimentary about the care and services provided. </w:t>
      </w:r>
    </w:p>
    <w:p w:rsidRPr="00A4268A">
      <w:pPr>
        <w:spacing w:before="240" w:line="276" w:lineRule="auto"/>
        <w:rPr>
          <w:rFonts w:eastAsia="Calibri"/>
        </w:rPr>
      </w:pPr>
      <w:r w:rsidRPr="00A4268A">
        <w:rPr>
          <w:rFonts w:eastAsia="Calibri"/>
        </w:rPr>
        <w:t xml:space="preserve">The shortfall at the previous audit relating to interventions remains an area for improvement. </w:t>
      </w:r>
    </w:p>
    <w:p w:rsidRPr="00A4268A">
      <w:pPr>
        <w:spacing w:before="240" w:line="276" w:lineRule="auto"/>
        <w:rPr>
          <w:rFonts w:eastAsia="Calibri"/>
        </w:rPr>
      </w:pPr>
      <w:r w:rsidRPr="00A4268A">
        <w:rPr>
          <w:rFonts w:eastAsia="Calibri"/>
        </w:rPr>
        <w:t xml:space="preserve">This surveillance audit identified a further improvement required relating to evaluation of short-term care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families identified that they are informed of changes in their family member’s health status.  There are regular resident meetings where residents can provide feedback on all services.  Complaint’s policies and procedures meet requirements and residents, and families are aware of the complaints process.  Complaints are managed appropriately and timely.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and health and safety processes.  Staff documents adverse, unplanned, and untoward events.  The health and safety programme meets current legislative requirements.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manager is a registered nurse and is supported by the owner/director.  The manager is on site five days a week and is on call when required.  They are supported by a stable workforce including a team of RNs.  </w:t>
      </w:r>
    </w:p>
    <w:p w:rsidRPr="00A4268A">
      <w:pPr>
        <w:spacing w:before="240" w:line="276" w:lineRule="auto"/>
        <w:rPr>
          <w:rFonts w:eastAsia="Calibri"/>
        </w:rPr>
      </w:pPr>
      <w:r w:rsidRPr="00A4268A">
        <w:rPr>
          <w:rFonts w:eastAsia="Calibri"/>
        </w:rPr>
        <w:t xml:space="preserve">There are adequate numbers of staff on duty to ensure residents are safely cared for.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Registered nurses are responsible for all stages of service provision.  Assessments, resident care plans, and evaluations were completed by the registered nurses within the required timeframes.  Risk assessment tools and monitoring forms were available and implemented.  Resident care plans are completed and included allied health professional involvement in resident care.  </w:t>
      </w:r>
    </w:p>
    <w:p w:rsidRPr="00A4268A" w:rsidP="00621629">
      <w:pPr>
        <w:spacing w:before="240" w:line="276" w:lineRule="auto"/>
        <w:rPr>
          <w:rFonts w:eastAsia="Calibri"/>
        </w:rPr>
      </w:pPr>
      <w:r w:rsidRPr="00A4268A">
        <w:rPr>
          <w:rFonts w:eastAsia="Calibri"/>
        </w:rPr>
        <w:t xml:space="preserve">The lifestyle coordinator implements the activity programme to meet the individual needs, preferences, and abilities of the residents.  Community links are maintained where possible within the Covid-19 risk management strategies.  There are a variety of activities that are meaningful to the residents.  </w:t>
      </w:r>
    </w:p>
    <w:p w:rsidRPr="00A4268A" w:rsidP="00621629">
      <w:pPr>
        <w:spacing w:before="240" w:line="276" w:lineRule="auto"/>
        <w:rPr>
          <w:rFonts w:eastAsia="Calibri"/>
        </w:rPr>
      </w:pPr>
      <w:r w:rsidRPr="00A4268A">
        <w:rPr>
          <w:rFonts w:eastAsia="Calibri"/>
        </w:rPr>
        <w:t xml:space="preserve">There are medicine management policies in place that meet legislative requirements.  Staff responsible for the administration of medications complete annual medication competencies and education.  Electronic medication charts have photo identification and allergy status noted.  Medication charts are reviewed three-monthly by the general practitioner.  </w:t>
      </w:r>
    </w:p>
    <w:p w:rsidRPr="00A4268A" w:rsidP="00621629">
      <w:pPr>
        <w:spacing w:before="240" w:line="276" w:lineRule="auto"/>
        <w:rPr>
          <w:rFonts w:eastAsia="Calibri"/>
        </w:rPr>
      </w:pPr>
      <w:r w:rsidRPr="00A4268A">
        <w:rPr>
          <w:rFonts w:eastAsia="Calibri"/>
        </w:rPr>
        <w:t xml:space="preserve">All food and baking is done on site.  The menu has been reviewed by a dietitian.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and approved fire evacuation scheme.  There is a reactive maintenance system and planned maintenance schedule in place.  There has been upgrades made to the kitchen including new equipment.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During the audit there were three residents using an enabler (four enablers in use) and no restraints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registered nurse is the infection control coordinator.  A suite of infection control policies and guidelines meet infection control standards.  Staff receive annual infection control education.  Surveillance data is collected and collated.  Covid -19 prevention strategies are implemented to manage risk.</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and the complaints policy is displayed at the service entrance.  Information about complaints is provided on admission.  Interviews with residents and relatives confirmed an understanding of the complaints process.  There have been no complaints made in 2020 and three in 2021.  The complaints were identified as low risk and were managed appropriately with acknowledgement, investigations and responses recorded.  Family members stated they have had no concerns to report and were happy with the care and service provided.  Discussions with residents and families/whānau confirmed that they were provided with information on the complaints process and remarked that any concerns or issues they had were addressed promptly.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lodged with the service from external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open disclosure which is based on the principle that residents and their families have a right to know what has happened to them and to be fully informed at all times.  The care staff (three caregivers, one RN, one lifestyle coordinator)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Two relatives (hospital) interviewed said they are kept informed of the resident’s status, including any events adversely affecting the resident.  Ten accident/incident forms reviewed reflected documented evidence of families being informed following an adverse event.  Two rest home and two hospital level residents (both younger persons with disabilities) were interviewed, and all confirmed they receive appropriate communication through resident meetings and can address their concerns openly.  One family member confirmed they were supported to have a family meeting through an online platform with the GP.  The two younger persons interviewed confirmed they receive adequate information through resident meetings, general discussions with staff and access to the internet.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and accessible if required through the district health board.  There were no residents at the facility who were unable to speak or understand basic English.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 they are updated with any changes in health of their relative and feel informed about the facility`s strategy under the Covid 19 preparedness framework.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 Court Lifecare provides rest home and hospital (geriatric and medical) levels of care for up to 32 residents.  On the day of the audit there were 30 residents.  This included: five residents at rest home level care including one resident funded though severe medical condition (SMI) contract.  There were also 25 residents at hospital level care including one ACC, five younger persons with disability funded by the ministry of health on a disability support contract (YPD) and one on individual funding respite care (IF) waiting for transfer to a hospital YPD contract.  All beds are certified as dual-purpose beds.  The service will soon have more than five YPD residents and proposed to add Ministry of Health funded younger persons disability contract (YPD) to their certificate. This has been identified in this audit in changes to the service and this audit verified that residents identified as YPD were able to be supported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The business plan (2021) was reviewed in July 2021 by the manager and owner of the facility.  The business plan includes quality goals including health and safety and clinical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has owned the service since the beginning of 2019.  The manager is a registered nurse (was previously the clinical manager till May 2021) and has previous management experience.  The manager maintained a minimum of eight hours of professional development per year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understood and being implemented as confirmed during interviews with the manager and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and meet legislative requirements.  Policies have been reviewed in May 2021, modified (where appropriate) and implemented.  Reviews take place two yearly or when policies are updated.  A document review schedule is in place.  New policies are discussed with staff.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staff education, infection control data collection and complaints management.  Data is collected for a range of adverse event data (e.g., skin tears, falls, infections) and is collated and analysed monthly for trends.  An internal audit programme is being implemented.  Quality data and outcomes are discussed with staff in the two monthly staff and quality meetings.  Two monthly resident meetings are completed and are also open to families to attend.</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Health and safety policies reflect current legislative requirements.  Actual and potential risks are documented on a hazard register, which identifies risk ratings and documents actions to eliminate or minimise each risk.  A plan is implemented to orientate contractors to the facility’s health and safety programme.  The hazard register had been reviewed in June 2021.  The health and safety representative (caregiver) has been in the role for more than two years and has completed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the development of specific falls management plans to meet the needs of each resident who is at risk of falling.  This includes (but is not limited to) sensor mats, post fall assessments, implementation of exercise programme prescribed by a physiotherapist, specialised care plans and additional training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Ten accident/incident forms were reviewed.  Each event involving a resident reflected a clinical assessment and follow-up by an RN.  Neurological observations are conducted for suspected head injuries and when unwitnessed falls occurred.  The shortfall identified at the previous audit related to the completion of neurological observations had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aware of statutory responsibilities in regard to essential notification with no essential notification required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Five staff files reviewed (two caregivers, two RNs, one lifestyle coordinator) included evidence of the recruitment process, including reference checking, signed employment contracts and job descriptions, and completed orientation programmes.  The orientation programme provides new staff with relevant information for safe work practice.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An education and training programme is provided for staff that meets contractual obligations.  In-service training is offered to staff in two blocks each year.  Each block is repeated twice to enable as many staff as possible to attend.  Education documentation reviewed, included all compulsory subjects, and had a high attendance rate (100% of staff).  Additional training was evidenced though meetings and ad hoc training.  The service introduced online training in May 2021 to supplement education opportunities.</w:t>
            </w:r>
          </w:p>
          <w:p w:rsidR="00EB7645" w:rsidRPr="00BE00C7" w:rsidP="00BE00C7">
            <w:pPr>
              <w:pStyle w:val="OutcomeDescription"/>
              <w:spacing w:before="120" w:after="120"/>
              <w:rPr>
                <w:rFonts w:cs="Arial"/>
                <w:b w:val="0"/>
                <w:lang w:eastAsia="en-NZ"/>
              </w:rPr>
            </w:pPr>
            <w:r w:rsidRPr="00BE00C7">
              <w:rPr>
                <w:rFonts w:cs="Arial"/>
                <w:b w:val="0"/>
                <w:lang w:eastAsia="en-NZ"/>
              </w:rPr>
              <w:t>Competencies are completed specific to worker type and include medication, manual handling, and restraint competencies annually.  Individual training and competency records are available on each staff file.  A register of current practising certificates for health professionals is maintained.  All registered nurses have a current first aid certificate and syringe driver competency on file.  Nine of nine RNs, including the manager, have completed their interRAI training.  Registered nurses and caregivers have received ongoing training that relates to the provision of hospital (medical) level of care including palliative care, falls management and manual handling techniques.  Training is provided by nurse specialists for a range of clinical issues including management of Parkinson’s, Multiple sclerosis, swallowing difficulties, catheter changes and tracheostomy care.  Staff interviewed confirmed they have received education around clinical issues related to younger persons with disabilities and include communication needs, mobility, and nutritional needs.  Registered nurses have recently completed formal external palliative care training.</w:t>
            </w:r>
          </w:p>
          <w:p w:rsidR="00EB7645" w:rsidRPr="00BE00C7" w:rsidP="00BE00C7">
            <w:pPr>
              <w:pStyle w:val="OutcomeDescription"/>
              <w:spacing w:before="120" w:after="120"/>
              <w:rPr>
                <w:rFonts w:cs="Arial"/>
                <w:b w:val="0"/>
                <w:lang w:eastAsia="en-NZ"/>
              </w:rPr>
            </w:pPr>
            <w:r w:rsidRPr="00BE00C7">
              <w:rPr>
                <w:rFonts w:cs="Arial"/>
                <w:b w:val="0"/>
                <w:lang w:eastAsia="en-NZ"/>
              </w:rPr>
              <w:t>Training records demonstrated that when a resident is admitted with a care need that is not familiar to staff, immediate training is given in brief form, prior to or at the time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have access to Careerforce training to support them to complete the certificate in health and wellbeing.  There are 22 caregivers and nine have completed NZQA level 3 and 4 certificates.  Caregivers interviewed confirmed they are supported with enrolment to complete formal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be double vaccinated against Covid 19 to continue employment. Education session include Covid preparedness and drills, using of PPE and isolation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aligns with contractual requirements.  The manager and clinical manager are on site five days a week and available on call.  Care partners interviewed stated that the management and registered nurses were supportive and available to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30 residents (5 rest home and 25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RN on duty for each shift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For care partners the staffing is: AM - two long shifts and two short shifts.  PM - two long shifts and two shorter shifts (5 pm-10 pm) and one caregiver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lifestyle coordinators are rostered seven days a week from 9 am to 4.30 pm.  There is also a physiotherapy assistant Monday to Wednesday.  There are housekeeping, maintenance and kitchen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 confirmed staffing overall was satisfactory.  Residents interviewed confirmed call bells are responded to in a timely manner.  The roster evidenced to have experienced caregivers on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the lifestyle coordinator (caregiver), manager (RN) and the RNs allocated on the shifts assist the caregivers with cares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medicine management policies and procedures that align with recognised standards and guidelines for safe medicine management practice.  Registered nurses administer medications and caregivers are competent as second checkers.  Medication education and medication competencies have been completed annually.  All medications are stored safely.</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a four-weekly robotic roll system for regular medications and blister packs for ‘as required’ medications.  All medications delivered are checked against the electronic medication charts and recorded in the resident medication chart when checked in.  There were no self-medicating residents on the day of audit.  The medication fridge is monitored daily and maintained within the acceptable temperature range.  The medication room air temperatures are taken and recorded daily.  All eye drops were dated on opening.  There are nurse initiating standing orders for non-prescription medicine that comply with all key requirements of the Medicines (Standing Order) Regulations.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system reviewed met legislative requirements.  All residents have individual medication orders with photo identification and allergy status documented.  Medications had been signed as administered in line with prescription charts.  Medication administration was observed to be compliant with policy and practice.  ‘As requited’ medications had indications for the medications recorded and effectiveness of pain medications.  Nutritional supplements are charted on the electronic medication chart and administered and signed for.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kitchen manager (qualified chef and baker) supported by morning and afternoon kitchenhands and a weekend cook.  The kitchen manager has been in the role for twelve months but has extensive aged care experience.</w:t>
            </w:r>
          </w:p>
          <w:p w:rsidR="00EB7645" w:rsidRPr="00BE00C7" w:rsidP="00BE00C7">
            <w:pPr>
              <w:pStyle w:val="OutcomeDescription"/>
              <w:spacing w:before="120" w:after="120"/>
              <w:rPr>
                <w:rFonts w:cs="Arial"/>
                <w:b w:val="0"/>
                <w:lang w:eastAsia="en-NZ"/>
              </w:rPr>
            </w:pPr>
            <w:r w:rsidRPr="00BE00C7">
              <w:rPr>
                <w:rFonts w:cs="Arial"/>
                <w:b w:val="0"/>
                <w:lang w:eastAsia="en-NZ"/>
              </w:rPr>
              <w:t>There is a food services policy and procedure manual.  The food control plan expires 18 February 2022.  Food services staff have completed food safety and hygiene training.  All meals are cooked on site by cooks who are supported by morning and afternoon kitchenhands.  The four weekly seasonal menu has been reviewed by a dietitian in October 2021.  The cook receives a dietary profile for each resident and is informed of any changes in dietary requirements.  Resident dislikes and food allergies are accommodated.  Soft/pureed meals, vegan and gluten free diets are provided.  Meals are held in a bain marie until served directly to residents in the adjacent dining room.  Meals to residents in rooms are plated and kept hot with insulated lids.  Specialised utensils and lip plates are available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Lunch was observed in the dining room and there was enough support available from staff to assist and supervise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Perishable foods in the chiller and refrigerators are date-labelled and stored correctly.  Fridge and freezer temperatures are monitored and recorded.  End-cooked temperatures are taken and recorded on all meals.  Chilled inward goods have temperatures recorded on delivery.  The chemical provider checks the dishwasher for effectiveness.  Chemicals are stored safely in the kitchen.  The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feedback on food services through resident meetings and surveys.  Residents and family interviewed were complimentary about the food service and quality of food.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review.  There is documented evidence on the family contact forms in each resident file, that family members were notified of any changes to their relative’s health including (but not limited to) accident/incidents, infections, health professional visits and changes in medications.  The RNs interviewed can initiate referrals to specialists such as speech and language therapists, wound care specialists, and the palliative nurse.  The GP initiates medical referrals.  One resident with behaviours of concern had de-escalation techniques included in the care plan and had a monitoring chart completed.  Family members interviewed confirmed care delivery and support by staff is consistent with their expectations.  </w:t>
            </w:r>
          </w:p>
          <w:p w:rsidR="00EB7645" w:rsidRPr="00BE00C7" w:rsidP="00BE00C7">
            <w:pPr>
              <w:pStyle w:val="OutcomeDescription"/>
              <w:spacing w:before="120" w:after="120"/>
              <w:rPr>
                <w:rFonts w:cs="Arial"/>
                <w:b w:val="0"/>
                <w:lang w:eastAsia="en-NZ"/>
              </w:rPr>
            </w:pPr>
            <w:r w:rsidRPr="00BE00C7">
              <w:rPr>
                <w:rFonts w:cs="Arial"/>
                <w:b w:val="0"/>
                <w:lang w:eastAsia="en-NZ"/>
              </w:rPr>
              <w:t>Five care plans were reviewed and did not always reflect detailed interventions needed to support all the needs of the resident. The shortfall identified at the previous audit around interventions has not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A wound assessment and short-term care plan and wound dressing application record and evaluations were in place for two wounds (skin tears).  Wounds had been evaluated at the documented frequency.  There were no current pressure injuries and evidence of a resolved stage two pressure injury.  There was adequate pressure relieving equipment available and staff had received education around the prevention of pressure injuries and skin management.  A wound specialist is available for support and advice.  The morning registered nurse is the wound champion and has completed formal training in pressure injury and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and continence products are available.  The residents’ files included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food and fluids, pain, turning charts, weight, blood glucose, enabler monitoring and challenging behaviours and neurological observations had been completed for all unwitnessed falls.  The electronic medication system is well utilised for the recording of weights, blood pressure, vital signs blood glucose and the GP notes are also entered into the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lifestyle coordinator who is currently progressing through the diversional therapy qualifications.  She works Tuesday to Saturday from 9 am to 4.30 pm.   She is supported by the physiotherapy assistant for the exercise programme and a second part time lifestyle coordinator (Sunday and Monday 9 am to 4.30 pm).  The monthly programme is developed in consultation with residents and reflects their interests and abilities.  The integrated programme is varied and provides group and individual activities to meet the hospital and rest home, and younger people with disabilities’ recreational preferences and interests.  There are activities planned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One-on-one contact is made with residents daily, who are unable to or choose not to participate in group activities.  Individual activities include hand massage, chats, reading etc.  Room visits are made daily to residents, ensuring they are aware of the activities being offered.  Activities include (but are not limited to); daily exercises, newspaper reading, hand massages, quizzes, board games, music, art and crafts, bowls, mini golf, movies, walks and gardening.  Community visitors include church visitors and entertainers, kapa haka group, pre-school, school children and girls brigade groups.  Community groups had not been to the facility in the last eight months due to Covid-19 restrictions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wheelchair hoist van and there are weekly outings to community events such as performances, concerts, shopping, cafés, lunches, and inter-home visits to Elms Court rest home.  There are scenic drives and picnics.  Themes and festivities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social profile and interests and hobbies form completed over the first few weeks after admission, which forms the basis of an activities plan, which is then reviewed six-monthly.  A record is kept of individual resident’s activities and monthly progress notes are documented.  Resident and relative meetings are held two monthly which provides an opportunity for residents and relatives to feedback on the service and the activities programme.  Residents and relatives interviewed commented positively on the activity programme.  The younger persons interviewed confirmed they are supported to maintain their community links and special interests and are provided access and transport to continue their normal routines.  On the day of the audit younger persons with disabilities were observed to engage within a group with various craft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long-term care plans were reviewed.  There are written evaluations that identify if the resident goals have been met or unmet.  There are three-monthly clinical reviews by the medical practitioner or sooner if needs change.  Short-term care plan evaluations are completed for wounds, infections, and other short-term conditions, however not always signed off as resolved.  Evaluations are conducted by the RNs with input from the resident, family, lifestyle coordinator, caregivers, and GP.  Family are notified of any changes in the resident's condition, as evidenced in resident files reviewed and confirmed in family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that expires 1 June 2022.  A maintenance person addresses day-to-day repairs and completes planned maintenance.  There is a scheduled maintenance plan in place that includes internal and external maintenance, testing and tagging of electrical equipment and calibration/functional checks of resident related equipment.  Hot water temperatures in resident areas are monitored monthly and are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upgrades made to the kitchen including new kitchen equipment.  The dining room is spacious to accommodate power chairs, wheelchairs, and other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a single level building with easy access to the garden.  Communal areas are spacious and comfortable for the residents.  There are external gardens and seating available with shade for residents.  The facility has sufficiently wide corridors with handrails for residents to safely mobilise using mobility aids including power chairs.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there was sufficient equipment (hoists, pressure relieving devices and weight scales) to safely carry out the cares as documented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however not always evaluated, and signed off (link 1.3.8.2).  Surveillance of all infections is entered onto a monthly infection summary.  This data is monitored and evaluated monthly and annually.  Outcomes and actions are discussed at two monthly meetings.  If there is an emergent issue, it is acted upon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reduce the incidence of urinary tract infections.  Overall infection rates are low and there has been no outbreak since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committee reviewed the incidence of urinary tract infections.  The service identified best practice using latest clinical resources.  The service was awarded a rating of continuous improvement at the last audit, and the work has continued to show a reduction in the number of urinary tract infections.</w:t>
            </w:r>
          </w:p>
          <w:p w:rsidR="00EB7645" w:rsidRPr="00BE00C7" w:rsidP="00BE00C7">
            <w:pPr>
              <w:pStyle w:val="OutcomeDescription"/>
              <w:spacing w:before="120" w:after="120"/>
              <w:rPr>
                <w:rFonts w:cs="Arial"/>
                <w:b w:val="0"/>
                <w:lang w:eastAsia="en-NZ"/>
              </w:rPr>
            </w:pPr>
            <w:r w:rsidRPr="00BE00C7">
              <w:rPr>
                <w:rFonts w:cs="Arial"/>
                <w:b w:val="0"/>
                <w:lang w:eastAsia="en-NZ"/>
              </w:rPr>
              <w:t>Covid 19 prevention strategies and risk management plans are part of the overall infection control prevention programme.  Residents and staff are vaccinated. Relatives and Visitors are required to contract trace, sign Covid 19 symptom declarations and wear masks.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A registered nurse is the restraint coordinator.  There is a restraint and enabler register available (sighted).  There were no residents using a restraint. There were four residents with enablers (three lap belts and one bedrail).  The residents with an enabler had a documented assessment and consent.  The care plan included the enabler and risk associated with its use.  Monitoring had been completed as per the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and challenging behaviour in June 2021.  The caregivers and RNs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6"/>
        <w:gridCol w:w="1280"/>
        <w:gridCol w:w="5662"/>
        <w:gridCol w:w="3239"/>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and interRAI assessments had been completed for all residents’ files reviewed.  Three (two hospital and one rest home level of care) of five reviewed did not always document detailed interventions needed to support the resident needs.  The shortfall identified at the previous audit around interventions has not been addressed. The risk rating has been raised in this audit to moderate and the length of time to address the issue raised from 90 days at the last audit to 60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 One rest home resident had a care plan completed and then the interRAI was completed two months later.  The care plan has not been updated to include the cardiopulmonary triggers identified in the interRAI to include management of shortness of breath and diuretic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ii) The resident (YPD) presents with advanced Parkinson’s and receives continuous subcutaneous infusion for diaphragmatic pain and shortness of breath.  The change in pain management and infusion management, including subcutaneous site care, had not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iii) One resident on palliative care was rapidly deteriorated.  The interventions in the care plan did not support his needs for end-of-life comfort care including spiritual and cultural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  Ensure interRAI triggers are addressed in the care plan and care plans are evaluated in line with the interRAI.</w:t>
            </w:r>
          </w:p>
          <w:p w:rsidR="00EB7645" w:rsidRPr="00BE00C7" w:rsidP="00BE00C7">
            <w:pPr>
              <w:pStyle w:val="OutcomeDescription"/>
              <w:spacing w:before="120" w:after="120"/>
              <w:rPr>
                <w:rFonts w:cs="Arial"/>
                <w:b w:val="0"/>
                <w:lang w:eastAsia="en-NZ"/>
              </w:rPr>
            </w:pPr>
            <w:r w:rsidRPr="00BE00C7">
              <w:rPr>
                <w:rFonts w:cs="Arial"/>
                <w:b w:val="0"/>
                <w:lang w:eastAsia="en-NZ"/>
              </w:rPr>
              <w:t>ii -iii)  Ensure that interventions are recorded to a level of detail to support the needs of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Short term care plans and goals and interventions documented.  Ten short term care plans were reviewed: two for wounds and eight related to infections.  Short term care plans related to wound management were signed off as resolved.  Six short term care plans related to infections were not signed off as resolved and two have not been evaluated since inception or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of ten short term care plans within the sample of files reviewed developed for infections were not always evaluated or signed off.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short term care plans are evaluated and signed off as resolved.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 Court Lifecare Limited - Elms Court Lifecare</w:t>
    </w:r>
    <w:bookmarkEnd w:id="58"/>
    <w:r>
      <w:rPr>
        <w:rFonts w:cs="Arial"/>
        <w:sz w:val="16"/>
        <w:szCs w:val="20"/>
      </w:rPr>
      <w:tab/>
      <w:t xml:space="preserve">Date of Audit: </w:t>
    </w:r>
    <w:bookmarkStart w:id="59" w:name="AuditStartDate1"/>
    <w:r>
      <w:rPr>
        <w:rFonts w:cs="Arial"/>
        <w:sz w:val="16"/>
        <w:szCs w:val="20"/>
      </w:rPr>
      <w:t>10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