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Aroha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Aroha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2022</w:t>
      </w:r>
      <w:bookmarkEnd w:id="7"/>
      <w:r w:rsidRPr="009418D4">
        <w:rPr>
          <w:rFonts w:cs="Arial"/>
        </w:rPr>
        <w:tab/>
        <w:t xml:space="preserve">End date: </w:t>
      </w:r>
      <w:bookmarkStart w:id="8" w:name="AuditEndDate"/>
      <w:r w:rsidR="00A4268A">
        <w:rPr>
          <w:rFonts w:cs="Arial"/>
        </w:rPr>
        <w:t>28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Aroha provides rest home (inclusive of secure dementia care) and hospital level care for up to 46 residents. There were 45 residents at that facility on the first day of the audit.</w:t>
      </w:r>
    </w:p>
    <w:p w:rsidRPr="00A4268A">
      <w:pPr>
        <w:spacing w:before="240" w:line="276" w:lineRule="auto"/>
        <w:rPr>
          <w:rFonts w:eastAsia="Calibri"/>
        </w:rPr>
      </w:pPr>
      <w:r w:rsidRPr="00A4268A">
        <w:rPr>
          <w:rFonts w:eastAsia="Calibri"/>
        </w:rPr>
        <w:t xml:space="preserve">This surveillance audit was conducted against a subset of the relevant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the environment, observations and interviews with family, residents, management, staff, and a general practitioner.</w:t>
      </w:r>
    </w:p>
    <w:p w:rsidRPr="00A4268A">
      <w:pPr>
        <w:spacing w:before="240" w:line="276" w:lineRule="auto"/>
        <w:rPr>
          <w:rFonts w:eastAsia="Calibri"/>
        </w:rPr>
      </w:pPr>
      <w:r w:rsidRPr="00A4268A">
        <w:rPr>
          <w:rFonts w:eastAsia="Calibri"/>
        </w:rPr>
        <w:t>The area requiring improvement at the last certification audit relating to neurological monitoring post falls is now closed.</w:t>
      </w:r>
    </w:p>
    <w:p w:rsidRPr="00A4268A">
      <w:pPr>
        <w:spacing w:before="240" w:line="276" w:lineRule="auto"/>
        <w:rPr>
          <w:rFonts w:eastAsia="Calibri"/>
        </w:rPr>
      </w:pPr>
      <w:r w:rsidRPr="00A4268A">
        <w:rPr>
          <w:rFonts w:eastAsia="Calibri"/>
        </w:rPr>
        <w:t>Areas identified as requiring improvement at this audit are relating to: quality and risk documentation; evaluation of care plans; medication management and environmental safety.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family on the resident’s admission and at the facility. </w:t>
      </w:r>
    </w:p>
    <w:p w:rsidRPr="00A4268A">
      <w:pPr>
        <w:spacing w:before="240" w:line="276" w:lineRule="auto"/>
        <w:rPr>
          <w:rFonts w:eastAsia="Calibri"/>
        </w:rPr>
      </w:pPr>
      <w:r w:rsidRPr="00A4268A">
        <w:rPr>
          <w:rFonts w:eastAsia="Calibri"/>
        </w:rPr>
        <w:t>Open communication between staff, residents and families is being conducted. There is access to formal interpreting services if required.</w:t>
      </w:r>
    </w:p>
    <w:p w:rsidRPr="00A4268A">
      <w:pPr>
        <w:spacing w:before="240" w:line="276" w:lineRule="auto"/>
        <w:rPr>
          <w:rFonts w:eastAsia="Calibri"/>
        </w:rPr>
      </w:pPr>
      <w:r w:rsidRPr="00A4268A">
        <w:rPr>
          <w:rFonts w:eastAsia="Calibri"/>
        </w:rPr>
        <w:t xml:space="preserve">Residents, family and the general practitioner’s interviews confirmed that the environment is conducive to communication, including identification of any issues, and that staff are respectful of residents’ needs. </w:t>
      </w:r>
    </w:p>
    <w:p w:rsidRPr="00A4268A">
      <w:pPr>
        <w:spacing w:before="240" w:line="276" w:lineRule="auto"/>
        <w:rPr>
          <w:rFonts w:eastAsia="Calibri"/>
        </w:rPr>
      </w:pPr>
      <w:r w:rsidRPr="00A4268A">
        <w:rPr>
          <w:rFonts w:eastAsia="Calibri"/>
        </w:rPr>
        <w:t>There is a documented complaints management system, and a complaints register is maintained.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Ultimate Care Group is the governing body responsible for the services provided at Ultimate Care Aroha. </w:t>
      </w:r>
    </w:p>
    <w:p w:rsidRPr="00A4268A">
      <w:pPr>
        <w:spacing w:before="240" w:line="276" w:lineRule="auto"/>
        <w:rPr>
          <w:rFonts w:eastAsia="Calibri"/>
        </w:rPr>
      </w:pPr>
      <w:r w:rsidRPr="00A4268A">
        <w:rPr>
          <w:rFonts w:eastAsia="Calibri"/>
        </w:rPr>
        <w:t xml:space="preserve">The service has a current business plan and a quality and risk management plan in place. The facility has implemented the group’s quality and risk management system that supports the provision of clinical care and quality improvement at the facility.  The business and quality and risk management plans include the organisation's mission statement and values. Regular reports to the national support office are conducted. </w:t>
      </w:r>
    </w:p>
    <w:p w:rsidRPr="00A4268A">
      <w:pPr>
        <w:spacing w:before="240" w:line="276" w:lineRule="auto"/>
        <w:rPr>
          <w:rFonts w:eastAsia="Calibri"/>
        </w:rPr>
      </w:pPr>
      <w:r w:rsidRPr="00A4268A">
        <w:rPr>
          <w:rFonts w:eastAsia="Calibri"/>
        </w:rPr>
        <w:t>The facility is managed by a facility manager who is supported in their role by a clinical services manager. The facility management team is supported by a regional manager and the group’s support team at head office.</w:t>
      </w:r>
    </w:p>
    <w:p w:rsidRPr="00A4268A">
      <w:pPr>
        <w:spacing w:before="240" w:line="276" w:lineRule="auto"/>
        <w:rPr>
          <w:rFonts w:eastAsia="Calibri"/>
        </w:rPr>
      </w:pPr>
      <w:r w:rsidRPr="00A4268A">
        <w:rPr>
          <w:rFonts w:eastAsia="Calibri"/>
        </w:rPr>
        <w:t>The quality and risk management systems include collection and analysis of quality improvement data which is monitored through the organisation’s reporting systems. An internal audit programme is documented and implemented. Corrective action plans are documented from quality activities when these are identified. Current policies and procedures support service delivery and are reviewed regularly.</w:t>
      </w:r>
    </w:p>
    <w:p w:rsidRPr="00A4268A">
      <w:pPr>
        <w:spacing w:before="240" w:line="276" w:lineRule="auto"/>
        <w:rPr>
          <w:rFonts w:eastAsia="Calibri"/>
        </w:rPr>
      </w:pPr>
      <w:r w:rsidRPr="00A4268A">
        <w:rPr>
          <w:rFonts w:eastAsia="Calibri"/>
        </w:rPr>
        <w:t>Adverse events are documented and where required corrective actions are implemented. Actual and potential risks, including health and safety risks, are identified and mitigated.</w:t>
      </w:r>
    </w:p>
    <w:p w:rsidRPr="00A4268A">
      <w:pPr>
        <w:spacing w:before="240" w:line="276" w:lineRule="auto"/>
        <w:rPr>
          <w:rFonts w:eastAsia="Calibri"/>
        </w:rPr>
      </w:pPr>
      <w:r w:rsidRPr="00A4268A">
        <w:rPr>
          <w:rFonts w:eastAsia="Calibri"/>
        </w:rPr>
        <w:t xml:space="preserve">Newly recruited staff undertake orientation appropriate to their role. Practising certificates for staff and contractors who require them are validated annually.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A review of rosters and service delivery staff, and resident/family interviews confirmed that there is sufficient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assess residents on admission. The initial care plan guides care and service provision during the first three weeks after the resident’s admission.</w:t>
      </w:r>
    </w:p>
    <w:p w:rsidRPr="00A4268A" w:rsidP="00621629">
      <w:pPr>
        <w:spacing w:before="240" w:line="276" w:lineRule="auto"/>
        <w:rPr>
          <w:rFonts w:eastAsia="Calibri"/>
        </w:rPr>
      </w:pPr>
      <w:r w:rsidRPr="00A4268A">
        <w:rPr>
          <w:rFonts w:eastAsia="Calibri"/>
        </w:rPr>
        <w:t>The interRAI assessments are used to identify residents’ needs and these are completed within the required timeframes. The general practitioner completes a medical assessment on admission and medical reviews occur thereafter on a regular basis.</w:t>
      </w:r>
    </w:p>
    <w:p w:rsidRPr="00A4268A" w:rsidP="00621629">
      <w:pPr>
        <w:spacing w:before="240" w:line="276" w:lineRule="auto"/>
        <w:rPr>
          <w:rFonts w:eastAsia="Calibri"/>
        </w:rPr>
      </w:pPr>
      <w:r w:rsidRPr="00A4268A">
        <w:rPr>
          <w:rFonts w:eastAsia="Calibri"/>
        </w:rPr>
        <w:t xml:space="preserve">Long term care plans are developed and implemented within the required timeframes, they are individualised and based on an integrated range of clinical information. Residents’ needs, goals and outcomes are identified.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Handovers between shifts guide continuity of care and teamwork is encouraged.</w:t>
      </w:r>
    </w:p>
    <w:p w:rsidRPr="00A4268A" w:rsidP="00621629">
      <w:pPr>
        <w:spacing w:before="240" w:line="276" w:lineRule="auto"/>
        <w:rPr>
          <w:rFonts w:eastAsia="Calibri"/>
        </w:rPr>
      </w:pPr>
      <w:r w:rsidRPr="00A4268A">
        <w:rPr>
          <w:rFonts w:eastAsia="Calibri"/>
        </w:rPr>
        <w:t>An electronic medication management system is in place. Medications are administered by the registered nurses who have completed current medication competency requirements.</w:t>
      </w:r>
    </w:p>
    <w:p w:rsidRPr="00A4268A" w:rsidP="00621629">
      <w:pPr>
        <w:spacing w:before="240" w:line="276" w:lineRule="auto"/>
        <w:rPr>
          <w:rFonts w:eastAsia="Calibri"/>
        </w:rPr>
      </w:pPr>
      <w:r w:rsidRPr="00A4268A">
        <w:rPr>
          <w:rFonts w:eastAsia="Calibri"/>
        </w:rPr>
        <w:t xml:space="preserve">The activity programme is managed by a diversional therapist. The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Kitchen staff have food safety qualifications. Residents and family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w:t>
      </w:r>
    </w:p>
    <w:p w:rsidRPr="00A4268A">
      <w:pPr>
        <w:spacing w:before="240" w:line="276" w:lineRule="auto"/>
        <w:rPr>
          <w:rFonts w:eastAsia="Calibri"/>
        </w:rPr>
      </w:pPr>
      <w:r w:rsidRPr="00A4268A">
        <w:rPr>
          <w:rFonts w:eastAsia="Calibri"/>
        </w:rPr>
        <w:t>There have been no alterations or additions to the facility’s buildings since the last certification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there were four residents using restraints and no residents using enablers.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appropriate to the size and complexity of the service. The infection control nurse is a registered nurse. Infection data is collated, analysed, and trended. Monthly surveillance data is reported to staff.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77"/>
        <w:gridCol w:w="1280"/>
        <w:gridCol w:w="85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complaints policy and process to ensure that that complaints are managed in line with Rights 10 of the Health and Disability Commissioner’s Code of Health and Disability Services Consumers’ Rights (the Code). The complaint form is made available to new residents and their families on admission. The complaint forms are available in resident areas in the facility. Resident and family interviews confirmed that they are aware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responsible for managing complaints. There is a complaints register which was up to date. Evidence relating to all lodged complaints is held in the complaints folder and on electronic files. Interview with the FM and a review of the complaints indicated that all complaints had been managed in line with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stated that they had been able to raise any issues directly with management and that they had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audit team were advised that there have been no complaints made to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policy and processes ensure open disclosure is practiced when this is required. The patient information folder provided to patients and their family on admission includes the organisation’s open disclosure policy. </w:t>
            </w:r>
          </w:p>
          <w:p w:rsidR="00EB7645" w:rsidRPr="00BE00C7" w:rsidP="00BE00C7">
            <w:pPr>
              <w:pStyle w:val="OutcomeDescription"/>
              <w:spacing w:before="120" w:after="120"/>
              <w:rPr>
                <w:rFonts w:cs="Arial"/>
                <w:b w:val="0"/>
                <w:lang w:eastAsia="en-NZ"/>
              </w:rPr>
            </w:pPr>
            <w:r w:rsidRPr="00BE00C7">
              <w:rPr>
                <w:rFonts w:cs="Arial"/>
                <w:b w:val="0"/>
                <w:lang w:eastAsia="en-NZ"/>
              </w:rPr>
              <w:t>Adverse events, where a resident has suffered unintended harm while receiving care are documented, investigated and communicated in an open disclosure manner. Completed incident documentation reviewed demonstrated that residents and family are informed if a resident has an incident/accident; a change in health or a change in needs. Family and residents’ interviews confirmed this occurs.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the facility manager (FM) and clinical services manager (CSM) and staff were approachable and available to discuss queries and issues. Interviews with residents and family identified that management addressed concerns and queries promptly and proactively.</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meetings inform residents of facility events and activities and provide residents with an opportunity to make suggestions and provide feedback. Minutes from the residents’ meetings showed evidence that a range of subjects and issues are discussed, including but not limited to: activities; food service; laundry; maintenance; facility changes; and resident surveys results. Meeting minutes evidence that issues or concerns raised at the residents’ meetings were responded to by management. Residents and their families are provided with a facility newsletter on regular basis, inclusive of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provides guidance for staff to ensure that residents who do not use English as their first language are offered interpreting services. The FM interview confirmed there were two residents at the facility requiring interpreting services at the time of the audit. This included the use of staff and family assistance when required. The district health board (DHB) interpreter service would be utilised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Ultimate Care Group (UCG) with the executive management team providing support to the facility. The FM reports to a regional manager, with support from the regional manager and the wider UCG executive management team. Communication between the facility and the UCG executive management occurs regularly, as stated by the FM.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organisation–wide quality and risk management document and the business planning objectives of the facility are documented. Review of the facility’s business plan for 2021-22 was evidenced. The values and mission statement were recorded in the facility’s information pack provided to residents and their families on admission and displayed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reporting of events and occupancy into the UCG’s national system by the FM and the CSM, that facilitates review of progress against identified indicators by the executive management team. A range of performance indicators are monitored including but not limited to: admissions and discharges; staffing; compliments and complaints, infections; falls; weight loss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The FM has been in this role for four months and has qualifications in management and psychology. The FM is supported by a CSM, who is a registered nurse (RN) and has been in this position for five years. The CSM is supported by a team of RNs.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(inclusive of dementia care) and hospital level care for up to 46 residents. There were 45 beds occupied at the time of the audit. This included: 14 residents who had been assessed as requiring rest home level care, 14 residents assessed as requiring secure dementia care and 17 residents assessed as requiring hospital level care. Included in the total occupancy numbers were two rest home residents under respite care and one resident requiring secure dementia care under a Ministry of Health mental health and additions contract.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DHB for the provision of: rest home (inclusive of secure dementia) and hospital aged related residential levels of care; residential respite care; and a long term support- chronic health conditions agreement.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had no residents with occupational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and associated implementation systems to ensure that the facility meets accepted good practice and is adhering to relevant standards, including standards relating to the Health and Disability Services (Safety) Act 2001. Policies are regularly reviewed at head office level and all are current.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schedule of internal audits. Areas of non-compliance from the internal audits include the implementation of a corrective action plan with sign-off by the FM when completed. However, analysis of trends and evaluation of outcomes requires improvement. UCG has made improvements to the electronic system with regard to this.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a new reporting tool called the ‘manager’s reflective report’ has been developed and enacted to capture quality improvement initiatives as a result of internal audit findings. Quality improvement initiatives include the incorporation of improved clinical indicators into the everyday life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and relative satisfaction survey was completed in 2021, with an average rating of 87% approval. An area requiring corrective action includes the management team. These results have just been collated and a corrective action plan is being developed and actioned.</w:t>
            </w:r>
          </w:p>
          <w:p w:rsidR="00EB7645" w:rsidRPr="00BE00C7" w:rsidP="00BE00C7">
            <w:pPr>
              <w:pStyle w:val="OutcomeDescription"/>
              <w:spacing w:before="120" w:after="120"/>
              <w:rPr>
                <w:rFonts w:cs="Arial"/>
                <w:b w:val="0"/>
                <w:lang w:eastAsia="en-NZ"/>
              </w:rPr>
            </w:pPr>
            <w:r w:rsidRPr="00BE00C7">
              <w:rPr>
                <w:rFonts w:cs="Arial"/>
                <w:b w:val="0"/>
                <w:lang w:eastAsia="en-NZ"/>
              </w:rPr>
              <w:t>Ultimate Care Aroha has the FM as the health and safety officer who is supported by the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meetings (five various meetings; quality, health and safety, caregivers, RNs, infection control and prevention) that were all held monthly have been moved into a comprehensive once monthly meeting for all staff, with good attendance. These meetings include but are not limited to: quality; restraint; health and safety and infection control; care issues; staffing; maintenance; activities; cleaning and laundry; food service; accident/incidents reporting; staff education and competencies; updated policy and procedures; and internal audit results and associated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Hazards are identified on hazard identification forms. The hazard register is relevant to the service and has been regularly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team are aware of situations which are required to be reported to statutory authorities, including: unexpected deaths; police involvement; sentinel events; infectious disease outbreaks and changes in key management roles. These are reported to the appropriate authority via the UCG support office staff. Notifications to HealthCERT under Section 31 were noted for the change in FM. A potential respiratory outbreak was reported to Public Health and the DHB in August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understood the adverse event reporting process and their obligation to document all untoward events. A review of documentation confirmed that staff document adverse, unplanned or untoward events on accident/incident forms which are signed off by the CSM.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reviewed confirmed that staff receive education at orientation and as part of the ongoing training programme on accident/incident reporting processes.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 reports reviewed at audit evidenced that where appropriate the resident’s family had been notified, an assessment had been conducted and observations completed. Family and resident interviews confirmed that family are notified where the resident has had an accident/incident or a change in health status. A sample of recorded incidents/accidents evidenced they were predominantly falls and wounds. The events demonstrated that assessments and action plans had been documented for each event. Accident/incidents are graphed, trends analysed and fed back to staff at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police vetting; identification verification; a position specific job description; a signed employment agreement and where required, a current work visa.</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Care givers (CG) and domestic staff interviewed stated that they are buddied with an experienced staff member until they demonstrate competency on specific tasks.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annual education and training module/schedule that includes topics relevant to all services and levels of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and four RNs have completed interRAI assessments training and competencies. Care staff complete annual competencies and comprehension, for example: moving and handling; hoist use; hand washing; and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Education session attendance records evidenced that ongoing education is provided relevant to the services delivered. Interviews and training records reviewed confirmed that all staff, including RNs undertake at least eight hours of relevant education and training hours per annum. An annual appraisal schedule is in place. Staff files reviewed evidenced that staff employed for greater that one year had completed a current performance appraisal.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allocation of staff and duty roster policy requires a base roster be set according to the needs of residents, taking into account dependency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rosters are developed and reviewed to accommodate anticipated workloads, identified numbers of residents to ensure safe staffing levels within the facility are sufficient to meet the needs of residents’ acuity and the minimum requirements of the DHB contract, stated by the FM and CSM.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and CG available to safely maintain the rosters for the provision of care to accommodate increases in workloads and acuity of residents.</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CSM who is on duty on the morning shifts from Monday to Friday, there is at least one RN on each morning, afternoon and night duty, seven days per week. In addition, there are five CGs on full morning shifts plus a CG on a seven hour shift; five CGs on full afternoon shifts plus a CG on a seven hour shift, and two CGs on each night shift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FM and CSM are on call after hours, and UCG have a 504 telephone clinical RN on call after hours for the RN on duty to refer to.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sighted reflected adequate staffing levels to meet resident acuity and bed occupancy and the requirements of the contract.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stated that staffing is adequate to meet the residents’ needs. Staff interviews confirmed that they are able to complete their scheduled tasks and resident cares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relevant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Prescribing practices are in line with legislation, protocols, and guidelines. The required three-monthly reviews by the GP/NP were recorded electronically. Residents’ allergies and sensitivities were documented on the electronic medication chart and in the resident’s electronic record.</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 with the RN confirmed this. The medication refrigerator temperatures are monitored daily, however the temperature of the medication room is not monitored.</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of medications and six monthly stocktakes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observed administering medication demonstrated knowledge and at interview demonstrated clear understanding of their roles and responsibilities related to each stage of medication management. The RN oversees the use of all pro re nata (PRN) medicines, however documentation regarding effectiveness of PRN medications administered is inconsistent. </w:t>
            </w:r>
          </w:p>
          <w:p w:rsidR="00EB7645" w:rsidRPr="00BE00C7" w:rsidP="00BE00C7">
            <w:pPr>
              <w:pStyle w:val="OutcomeDescription"/>
              <w:spacing w:before="120" w:after="120"/>
              <w:rPr>
                <w:rFonts w:cs="Arial"/>
                <w:b w:val="0"/>
                <w:lang w:eastAsia="en-NZ"/>
              </w:rPr>
            </w:pPr>
            <w:r w:rsidRPr="00BE00C7">
              <w:rPr>
                <w:rFonts w:cs="Arial"/>
                <w:b w:val="0"/>
                <w:lang w:eastAsia="en-NZ"/>
              </w:rPr>
              <w:t>Current medication competencies were evident in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is responsible for the food services. The food service is in line with recognised nutritional guidelines for older people. All meals are prepared on site and served in the dining rooms or in the residents’ rooms if requested. The seasonal menu has been reviewed by a dietitian, with the summer menu implemented at the time of audit. The food control plan is current. Food management training and certificates for the chef, cook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and recorded. The kitchen staff have relevant food hygiene and infection control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by the RN for each resident on their admission, to identify the residents’ dietary requirements and preferences. The nutritional profile is communicated to the kitchen staff and updated when a resident’s dietary needs change. Diets are modified as needed and the chef at interview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There were sufficient staff to ensure appropriate assistance was available.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Snacks and drinks are always available to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completed by the RN and based on assessed needs, desired outcomes, and goals of residents. Care planning includes specific interventions for long-term and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are reviewed and updated if there are changes in the health status of a resident. </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reviewed were current. A physiotherapist visits the facility weekly and reviews residents referred by the CSM or RNs. Contact with family was verified in the resident’s records. Interviews with residents and their families confirmed that care and treatment met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care products available at the facility. The review of the wound care plans evidenced wounds were assessed in a timely manner and reviewed at appropriate intervals. Photos were taken and recorded where this was required.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all residents in the facility and that they have access to the supplies and products they require to meet those needs. Family communication is recorded in the residents’ files. The nursing progress notes are recorded and maintained.</w:t>
            </w:r>
          </w:p>
          <w:p w:rsidR="00EB7645" w:rsidRPr="00BE00C7" w:rsidP="00BE00C7">
            <w:pPr>
              <w:pStyle w:val="OutcomeDescription"/>
              <w:spacing w:before="120" w:after="120"/>
              <w:rPr>
                <w:rFonts w:cs="Arial"/>
                <w:b w:val="0"/>
                <w:lang w:eastAsia="en-NZ"/>
              </w:rPr>
            </w:pPr>
            <w:r w:rsidRPr="00BE00C7">
              <w:rPr>
                <w:rFonts w:cs="Arial"/>
                <w:b w:val="0"/>
                <w:lang w:eastAsia="en-NZ"/>
              </w:rPr>
              <w:t>Monthly observations such as weight and blood pressure were completed and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implemented by a diversional therapist who is assisted two days a week by an activities assistant. Activities for the residents are provided six days a week, Monday to Friday, 9.30 am to 3.30 pm and from 10.00 am to 3.00 pm on Saturday. The activities programme is displayed on the residents’ noticeboards. The activities programme provides variety in the content and includes a range of activities which incorporate education, leisure, cultural and community events. Regular van outings into the community are arranged. Church services are held monthly.</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RN. Information on residents’ interests, family and previous occupations is gathered during the interview with the resident and their family and documented. Outcomes against goals are recorded when the formal review of the care plans occur. However, the formal reviews of the care plans are not consistently carried out within the required timeframe (refer to 1.3.3.3).</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have 24-hour behaviour management plans to assist staff in the identification and de-escalation of behaviours that may be challenging. The diversional therapist ensures the implementation of activities in the dementia unit is occurring.</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resident and family/whānau participation. Regular resident meetings are held and include discussion around activities. The residents and their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LTCPs are evaluated if there is a change in the resident’s condition and inteRAI assessments are completed every six months. However, the six-monthly evaluation of the LTCPs with information from the interRAI assessment does not consistently occur within the required timeframes (refer to 1.3.3.3).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short-term care plans for the management of short-term acute problems. Short term care plans are reviewed and signed off when the problem is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is current and displayed at the facility, with an expiry date of 30 April 2022.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alterations to the facility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environment is hazard free, and independence is promoted. However, improvements are required around privacy, personal protective equipment and chemical storage on the cleaner’s trolley.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(IPC) audits are completed. Infection data is collated monthly and is submitted to the UCG national support office. Monthly surveillance data is collated and analysed to identify any trends, possible aetiology, and any required actions. This data is reported at the quality, clinical and staff meetings. The UCG reflection report is displayed on the staff noticeboard.</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developed for infections and reviewed and signed off when the infection resolves.</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CSM confirmed there has been one outbreak (respiratory) since the previous audit. Documentation reviewed and interview with the GP confirmed that this had been managed well and resolved within two weeks.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CSM, who provides support and oversight for enabler and restraint management in the facility. The restraint coordinator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four residents were using restraints, bedrails, and/or lap belts. No residents were using enablers. A similar process is followed for the use of enablers as is used for any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restraint minimisation. Staff receive restraint minimisation training at orientation and as part of the UCG training programme which includes annual competency assessments.</w:t>
            </w:r>
          </w:p>
          <w:p w:rsidR="00EB7645" w:rsidRPr="00BE00C7" w:rsidP="00BE00C7">
            <w:pPr>
              <w:pStyle w:val="OutcomeDescription"/>
              <w:spacing w:before="120" w:after="120"/>
              <w:rPr>
                <w:rFonts w:cs="Arial"/>
                <w:b w:val="0"/>
                <w:lang w:eastAsia="en-NZ"/>
              </w:rPr>
            </w:pPr>
            <w:r w:rsidRPr="00BE00C7">
              <w:rPr>
                <w:rFonts w:cs="Arial"/>
                <w:b w:val="0"/>
                <w:lang w:eastAsia="en-NZ"/>
              </w:rPr>
              <w:t>Equipment including low-low beds and sensor mats is available to minimise the use of restraint. Review of restraint and enabler use is completed and discussed at all quality, clinical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coordinator is the CSM with a job description that defines the role and responsibility of the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An assessment and management process is followed for the use of both restraints and enablers which ensures the ongoing safety and wellbeing of residents. The CSM explained the process for determining approval, for recording, monitoring, and evaluating any restraints or enablers used. The GP at interview confirmed involvement with the restraint approval process. Family/whanau approval is gained should any resident be unable to do so. Any impact on family is also considered. This was evidenced by documentation and files 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restraint/enabler policy details the process for assessment. Assessment covers the need, alternatives attempted, risk, cultural needs, impact on the family, any relevant life events, any advance directives, expected outcomes and when the restraint will end. Completed assessment templates were sighted evidencing assessment, including consultation with family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enablers are used to maintain resident safety and only as a last resort. The restraint coordinator discusses alternatives with the resident, family/whanau, GP, and staff.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reviewed by the restraint coordinator who shares the information with staff at the quality, clinical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restraints are reviewed and evaluated as per the UCG policy and requirements of the standard. Use of restraints and enablers is evaluated three monthly or more often according to identified risk. The evaluation includes a review of the process and documentation, including the resident’s care plan and risk assessments, future options to eliminate use and the impact and outcomes achieved. Evaluations are discussed at the quality, clinical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50"/>
        <w:gridCol w:w="1280"/>
        <w:gridCol w:w="5313"/>
        <w:gridCol w:w="1968"/>
        <w:gridCol w:w="16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raised from quality improvement data inclusive of internal audits. However, the analysis of trends and evaluation of outcomes from corrective actions are not completed and relayed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for corrective actions are not documented, inclusive of evaluations prior to sign off.</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and staff meetings do not fully inform staff of evaluations and outcomes for corrective actions raised.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and evaluations of corrective actions should be documented.</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and staff meetings should clearly outline corrective actions and improvements.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oversees the use of all PRN medications. However, documentation of the effectiveness of the medication given does not always occur. In six out of ten medication charts reviewed, effectiveness was not recorded on the electronic medication system or in the progress notes for all PRN medication administered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 monitoring of the medication fridge occurs daily, however there is no monitoring of the temperature of the medication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effectiveness of PRN medications administered is not 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ii. The temperature of the medication rooms is not recorded as per UCG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effectiveness of all PRN medication administered is documented.</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temperature of the medication rooms is monitored and recorded in accordance with UCG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LTCPs are evaluated if there is a change in the resident’s condition. However, in two out of five files reviewed, the formal six-monthly evaluation of the care plan was overdue by several months. The service has developed a quality improvement plan to rectify this issue, but this had not been implemented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LTCPs are not consistently evaluated within the required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LTCPs are evaluated within the required timeframe.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Efforts are made to ensure the environment is hazard free, that residents are safe, and independence is promoted. However, improvements are required around privacy, personal protective equipment and chemical storage on the cleaner’s trolley.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are no privacy signs on the dementia unit toilets and showers and also on two showers in the hospital wing.</w:t>
            </w:r>
          </w:p>
          <w:p w:rsidR="00EB7645" w:rsidRPr="00BE00C7" w:rsidP="00BE00C7">
            <w:pPr>
              <w:pStyle w:val="OutcomeDescription"/>
              <w:spacing w:before="120" w:after="120"/>
              <w:rPr>
                <w:rFonts w:cs="Arial"/>
                <w:b w:val="0"/>
                <w:lang w:eastAsia="en-NZ"/>
              </w:rPr>
            </w:pPr>
            <w:r w:rsidRPr="00BE00C7">
              <w:rPr>
                <w:rFonts w:cs="Arial"/>
                <w:b w:val="0"/>
                <w:lang w:eastAsia="en-NZ"/>
              </w:rPr>
              <w:t>ii) The sluices and laundry tubs and hoses did not give staff protection from splash back, with either a splash guard or face shield provided.</w:t>
            </w:r>
          </w:p>
          <w:p w:rsidR="00EB7645" w:rsidRPr="00BE00C7" w:rsidP="00BE00C7">
            <w:pPr>
              <w:pStyle w:val="OutcomeDescription"/>
              <w:spacing w:before="120" w:after="120"/>
              <w:rPr>
                <w:rFonts w:cs="Arial"/>
                <w:b w:val="0"/>
                <w:lang w:eastAsia="en-NZ"/>
              </w:rPr>
            </w:pPr>
            <w:r w:rsidRPr="00BE00C7">
              <w:rPr>
                <w:rFonts w:cs="Arial"/>
                <w:b w:val="0"/>
                <w:lang w:eastAsia="en-NZ"/>
              </w:rPr>
              <w:t>iii) The cleaner’s trolley had chemicals stored in an unsafe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privacy signs are installed for all toilets and showers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have adequate protection when handling soiled items</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chemicals are stored securely on the cleaner’s trolley.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Aroha</w:t>
    </w:r>
    <w:bookmarkEnd w:id="58"/>
    <w:r>
      <w:rPr>
        <w:rFonts w:cs="Arial"/>
        <w:sz w:val="16"/>
        <w:szCs w:val="20"/>
      </w:rPr>
      <w:tab/>
      <w:t xml:space="preserve">Date of Audit: </w:t>
    </w:r>
    <w:bookmarkStart w:id="59" w:name="AuditStartDate1"/>
    <w:r>
      <w:rPr>
        <w:rFonts w:cs="Arial"/>
        <w:sz w:val="16"/>
        <w:szCs w:val="20"/>
      </w:rPr>
      <w:t>27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