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Kaylex Care Limited - Eastcare Residential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Kaylex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Eastcare Residential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January 2022</w:t>
      </w:r>
      <w:bookmarkEnd w:id="7"/>
      <w:r w:rsidRPr="009418D4">
        <w:rPr>
          <w:rFonts w:cs="Arial"/>
        </w:rPr>
        <w:tab/>
        <w:t xml:space="preserve">End date: </w:t>
      </w:r>
      <w:bookmarkStart w:id="8" w:name="AuditEndDate"/>
      <w:r w:rsidR="00A4268A">
        <w:rPr>
          <w:rFonts w:cs="Arial"/>
        </w:rPr>
        <w:t>27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Eastcare Residential Home provides rest home and dementia level care for up to 46 residents. The service is operated by Kaylex Care Limited and managed by a facility manager and a clinical manager. The most significant change since the previous 2020 audit is the appointment of a new facility manager in October 2021. There have been no changes to the scope and size of the service or the building.</w:t>
      </w:r>
    </w:p>
    <w:p w:rsidRPr="00A4268A">
      <w:pPr>
        <w:spacing w:before="240" w:line="276" w:lineRule="auto"/>
        <w:rPr>
          <w:rFonts w:eastAsia="Calibri"/>
        </w:rPr>
      </w:pPr>
      <w:r w:rsidRPr="00A4268A">
        <w:rPr>
          <w:rFonts w:eastAsia="Calibri"/>
        </w:rPr>
        <w:t>This recertification audit was conducted against the New Zealand Health and Disability Services Standards and the provider’s contract with the Waikato District Health Board (WDHB). The audit process included review of policies and procedures, review of residents’ and staff files, observations and interviews with residents, family members, management, staff, and a general practitioner. The company operations manager was on site for both days of the audit and was also interviewed.</w:t>
      </w:r>
    </w:p>
    <w:p w:rsidRPr="00A4268A">
      <w:pPr>
        <w:spacing w:before="240" w:line="276" w:lineRule="auto"/>
        <w:rPr>
          <w:rFonts w:eastAsia="Calibri"/>
        </w:rPr>
      </w:pPr>
      <w:r w:rsidRPr="00A4268A">
        <w:rPr>
          <w:rFonts w:eastAsia="Calibri"/>
        </w:rPr>
        <w:t xml:space="preserve">The residents, their family members and a general practitioner interviewed expressed their satisfaction with the care and quality of services provided. </w:t>
      </w:r>
    </w:p>
    <w:p w:rsidRPr="00A4268A">
      <w:pPr>
        <w:spacing w:before="240" w:line="276" w:lineRule="auto"/>
        <w:rPr>
          <w:rFonts w:eastAsia="Calibri"/>
        </w:rPr>
      </w:pPr>
      <w:r w:rsidRPr="00A4268A">
        <w:rPr>
          <w:rFonts w:eastAsia="Calibri"/>
        </w:rPr>
        <w:t xml:space="preserve">Three areas requiring improvement were identified during this audit. These relate to the extent of reporting that is provided to the general manager/governance, analysis of incidents and accidents including infections and surfaces in the kitchen.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provides care that reflects the Code of Health and Disability Services Consumers’ Rights (the Code). Information about the Code is promoted and shared with residents, family/whanau members and staff. Consumers and family/whanau advised that the service treats them with dignity and respect.</w:t>
      </w:r>
    </w:p>
    <w:p w:rsidRPr="00A4268A">
      <w:pPr>
        <w:spacing w:before="240" w:line="276" w:lineRule="auto"/>
        <w:rPr>
          <w:rFonts w:eastAsia="Calibri"/>
        </w:rPr>
      </w:pPr>
      <w:r w:rsidRPr="00A4268A">
        <w:rPr>
          <w:rFonts w:eastAsia="Calibri"/>
        </w:rPr>
        <w:t xml:space="preserve">Residents are encouraged to maintain cultural customs and connections with their community. </w:t>
      </w:r>
    </w:p>
    <w:p w:rsidRPr="00A4268A">
      <w:pPr>
        <w:spacing w:before="240" w:line="276" w:lineRule="auto"/>
        <w:rPr>
          <w:rFonts w:eastAsia="Calibri"/>
        </w:rPr>
      </w:pPr>
      <w:r w:rsidRPr="00A4268A">
        <w:rPr>
          <w:rFonts w:eastAsia="Calibri"/>
        </w:rPr>
        <w:t xml:space="preserve">The service has linkages with a range of specialist health care providers to support best practice and meet residents’ needs. </w:t>
      </w:r>
    </w:p>
    <w:p w:rsidRPr="00A4268A">
      <w:pPr>
        <w:spacing w:before="240" w:line="276" w:lineRule="auto"/>
        <w:rPr>
          <w:rFonts w:eastAsia="Calibri"/>
        </w:rPr>
      </w:pPr>
      <w:r w:rsidRPr="00A4268A">
        <w:rPr>
          <w:rFonts w:eastAsia="Calibri"/>
        </w:rPr>
        <w:t xml:space="preserve">Communication needs are met. </w:t>
      </w:r>
    </w:p>
    <w:p w:rsidRPr="00A4268A">
      <w:pPr>
        <w:spacing w:before="240" w:line="276" w:lineRule="auto"/>
        <w:rPr>
          <w:rFonts w:eastAsia="Calibri"/>
        </w:rPr>
      </w:pPr>
      <w:r w:rsidRPr="00A4268A">
        <w:rPr>
          <w:rFonts w:eastAsia="Calibri"/>
        </w:rPr>
        <w:t>A complaints register is maintained. When complaints have been received, these are investigated, and all information related to these is held on record. There was one complaint open at the time of this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Current strategic, quality and risk management plans which include the scope, direction, goals, values and mission statement of the organisation are in place.  A qualified and experienced manager is available and on site Monday to Friday. There is regular communication between the facility manager, operations manager and general manager.  </w:t>
      </w:r>
    </w:p>
    <w:p w:rsidRPr="00A4268A">
      <w:pPr>
        <w:spacing w:before="240" w:line="276" w:lineRule="auto"/>
        <w:rPr>
          <w:rFonts w:eastAsia="Calibri"/>
        </w:rPr>
      </w:pPr>
      <w:r w:rsidRPr="00A4268A">
        <w:rPr>
          <w:rFonts w:eastAsia="Calibri"/>
        </w:rPr>
        <w:t xml:space="preserve">Quality and risk management systems are well established. Service delivery was being regularly monitored. Adverse events were being reliably reported and investigated to determine cause and prevention. People impacted by an adverse event were notified. The operator understands their obligation to make essential notifications and actions this when required. </w:t>
      </w:r>
    </w:p>
    <w:p w:rsidRPr="00A4268A">
      <w:pPr>
        <w:spacing w:before="240" w:line="276" w:lineRule="auto"/>
        <w:rPr>
          <w:rFonts w:eastAsia="Calibri"/>
        </w:rPr>
      </w:pPr>
      <w:r w:rsidRPr="00A4268A">
        <w:rPr>
          <w:rFonts w:eastAsia="Calibri"/>
        </w:rPr>
        <w:t>Staff were being recruited and managed effectively. Staff training in relevant subject areas has been occurring regularly. There were adequate number of skilled and experienced staff on site to meet the needs of each resident group.</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Eastcare Residential Home is efficiently managed with relevant information provided to the potential residents/family members. The clinical manager and the general practitioner (GP) assess residents on admission. The care plans demonstrated appropriate interventions and were individualised. Residents are reviewed regularly and referred to specialist services and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All internal and external areas were clean, and the building and chattels are well maintained. Electrical equipment is tested as required. Communal and individual spaces are maintained at a comfortable temperature. All external areas are accessible and safe for residents’ use. </w:t>
      </w:r>
    </w:p>
    <w:p w:rsidRPr="00A4268A">
      <w:pPr>
        <w:spacing w:before="240" w:line="276" w:lineRule="auto"/>
        <w:rPr>
          <w:rFonts w:eastAsia="Calibri"/>
        </w:rPr>
      </w:pPr>
      <w:r w:rsidRPr="00A4268A">
        <w:rPr>
          <w:rFonts w:eastAsia="Calibri"/>
        </w:rPr>
        <w:t>Waste and hazardous substances are well-managed. Staff use protective equipment and clothing. Laundry is undertaken onsite and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Residents reported a timely staff response to call bells.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Eastcare Residential Home has a philosophy and practice of no restraint. There were no restraint or enablers in use on the days of audit.</w:t>
      </w:r>
    </w:p>
    <w:p w:rsidRPr="00A4268A">
      <w:pPr>
        <w:spacing w:before="240" w:line="276" w:lineRule="auto"/>
        <w:rPr>
          <w:rFonts w:eastAsia="Calibri"/>
        </w:rPr>
      </w:pPr>
      <w:r w:rsidRPr="00A4268A">
        <w:rPr>
          <w:rFonts w:eastAsia="Calibri"/>
        </w:rPr>
        <w:t>Policies and procedures meet the requirements, if a restraint is required, and staff education is ongoing.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managed by a trained infection control coordinator. It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shared with all staff.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54"/>
        <w:gridCol w:w="1280"/>
        <w:gridCol w:w="90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services that meet the consumer rights legislation. The service has developed and implemented policies, procedures and processes to meet its obligations in relation to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were observed communicating with residents in a respectful and courteous manner. On the days of the audit residents were observed being encouraged to be independent, options were provided, and privacy and dignity was maintained. This was confirmed in interviews conducted with residents and family/whanau. </w:t>
            </w:r>
          </w:p>
          <w:p w:rsidR="00EB7645" w:rsidRPr="00BE00C7" w:rsidP="00BE00C7">
            <w:pPr>
              <w:pStyle w:val="OutcomeDescription"/>
              <w:spacing w:before="120" w:after="120"/>
              <w:rPr>
                <w:rFonts w:cs="Arial"/>
                <w:b w:val="0"/>
                <w:lang w:eastAsia="en-NZ"/>
              </w:rPr>
            </w:pPr>
            <w:r w:rsidRPr="00BE00C7">
              <w:rPr>
                <w:rFonts w:cs="Arial"/>
                <w:b w:val="0"/>
                <w:lang w:eastAsia="en-NZ"/>
              </w:rPr>
              <w:t>The interviewed staff understood the requirements of the Code. Training on the Code is included as part of the orientation process for all staff employed and in ongoing annual training, as was verified in staff training records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interviewed clinical manager and caregivers understood the principles and practice of informed consent. Informed consent policies provide relevant guidance to staff.  Informed consent is part of the admission process and general consent has been gained appropriately. Signed admission agreements and general consent forms were sighted in the clinical files reviewed. Resuscitation treatment plans and advance directives are also part of the admission process and were sighted in the reviewed residents’ records as applicable. Staff were observed to gain consent for daily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interviewed residents, family/ whānau and EPOAs for residents in the dementia units confirmed having signed the admission agreements and consent forms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Influenza and COVID-19 vaccination consent forms were sighted in residents’ files sampled.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plans were sighted where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Advocacy Services pamphlets are given to residents, family/ whanau and EPOAs on admission to the service. The residents’ information booklet has information on Advocacy services and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facility manager stated that in the event of a complaint made or any time during service delivery, residents and their family/ whānau are offered an option of an independent advocate who will be available for support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dementia units had support of EPOAs. Activated EPOAs were sighted in the sampled files for residents in the dementia units. </w:t>
            </w:r>
          </w:p>
          <w:p w:rsidR="00EB7645" w:rsidRPr="00BE00C7" w:rsidP="00BE00C7">
            <w:pPr>
              <w:pStyle w:val="OutcomeDescription"/>
              <w:spacing w:before="120" w:after="120"/>
              <w:rPr>
                <w:rFonts w:cs="Arial"/>
                <w:b w:val="0"/>
                <w:lang w:eastAsia="en-NZ"/>
              </w:rPr>
            </w:pPr>
            <w:r w:rsidRPr="00BE00C7">
              <w:rPr>
                <w:rFonts w:cs="Arial"/>
                <w:b w:val="0"/>
                <w:lang w:eastAsia="en-NZ"/>
              </w:rPr>
              <w:t>The interviewed family/whanau, residents and EPOAS were aware of the Advocacy Service, how to access this and their right to have support persons. Interviewed staff understood the Advocacy policy and procedure.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visits from residents’ family/whānau and friends. A number of visitors were observed visiting residents on the days of the audit. Visitors are required to follow the COVID-19 pandemic MOH guidelines when visiting the facility. During the level four COVID-19 pandemic visiting restrictions, contact with family was via phone calls and virtual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and EPOAs for residents in the dementia units expressed satisfaction with staff attitude when they visited and stated they felt comfortable in their dealings with staff. </w:t>
            </w:r>
          </w:p>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maintain links with their family and the community by having organised external entertainers visiting the service, and residents can go out on social outings with family. This was observed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and staff and resident interviews showed complaints are managed according to policy and Right 10 of the Code of Health and Disability Services Consumers’ Rights (the Code).  The complaints register recorded eight complaints received in 2021 and none to date in 2022. The documentation attached to these confirmed investigations occurred and that these were resolved to the satisfaction of the people involved.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said they knew about the complaints process and that they had no hesitation in raising concerns or lodging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received by the Office of the Health and Disability Commissioner in April 2021 is still under investigation.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family/whānau, their chosen representative and/or their legal representative for residents in the dementia units are provided with an explanation of the consumer rights on admission by the admitting nurse. This was confirmed in interviews with residents and whanau/EPOA for residents in the dementia units. </w:t>
            </w:r>
          </w:p>
          <w:p w:rsidR="00EB7645" w:rsidRPr="00BE00C7" w:rsidP="00BE00C7">
            <w:pPr>
              <w:pStyle w:val="OutcomeDescription"/>
              <w:spacing w:before="120" w:after="120"/>
              <w:rPr>
                <w:rFonts w:cs="Arial"/>
                <w:b w:val="0"/>
                <w:lang w:eastAsia="en-NZ"/>
              </w:rPr>
            </w:pPr>
            <w:r w:rsidRPr="00BE00C7">
              <w:rPr>
                <w:rFonts w:cs="Arial"/>
                <w:b w:val="0"/>
                <w:lang w:eastAsia="en-NZ"/>
              </w:rPr>
              <w:t>The Code and the Nationwide Health and Disability Advocacy Service (Advocacy Service) posters are prominently displayed on the notice board near the reception area. The Code posters were in English and Māori languages. Information on advocacy services, complaints, and feedback forms were available at the reception area. The complaints and suggestion box near was near the reception area and accessible to residents and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individual rooms that provide personal privacy, physical, visual and auditory dignity for residents during care. On the days of the audit, privacy and dignity were observed to be provided as personal cares were being undertaken.  The bathrooms had clear signage when in use. Interviewed residents reported that they were respected by staff during care delivery. Staff were observed respecting residents’ personal areas and privacy by knocking on the doors before entry. Residents and family/whānau confirmed that services were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allowed to bring limited personal belongings they can relate to. The personal belongings and property are recorded on admission and are labelled for easy identification. The residents reported that they receive back their clothes after laundering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attend to community activities to meet their individual needs. The interviewed staff stated that an escort is provided as when needed to promote residents’ independence. Residents who wished to make their own beds were supported to do so. The care plans included documentation related to the residents’ abilities, and strategies to maximise independence. Residents stated that staff encourage and support them to maintain their independence wherever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All staff have received education on abuse and neglect. The training is provided annually for all staff - records were sighted.  Interviewed staff demonstrated awareness of abuse and neglect and actions to take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 interviewed GP, residents and family/whānau have not witnessed or observed any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identify as Māori are supported to integrate their cultural values and beliefs. The principles of the Treaty of Waitangi are incorporated into daily practice, as is the importance of whānau. The Māori Health plan in place is current and it focusses on Tapu and Noa as the fundamental concepts that underpin the four cornerstones of Māori health. Two staff who identify as Māori have assisted Eastcare Residential Home to develop the Māori Health care plan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Guidance on tikanga best practice is available. Māori cultural advisory is provided through the nominated cultural officer, a staff member at the service and local DHB if required. The cultural officer is involved in the monthly activities meetings to ensure that appropriate activities are included for residents who identify as Māori.</w:t>
            </w:r>
          </w:p>
          <w:p w:rsidR="00EB7645" w:rsidRPr="00BE00C7" w:rsidP="00BE00C7">
            <w:pPr>
              <w:pStyle w:val="OutcomeDescription"/>
              <w:spacing w:before="120" w:after="120"/>
              <w:rPr>
                <w:rFonts w:cs="Arial"/>
                <w:b w:val="0"/>
                <w:lang w:eastAsia="en-NZ"/>
              </w:rPr>
            </w:pPr>
            <w:r w:rsidRPr="00BE00C7">
              <w:rPr>
                <w:rFonts w:cs="Arial"/>
                <w:b w:val="0"/>
                <w:lang w:eastAsia="en-NZ"/>
              </w:rPr>
              <w:t>Residents who identify as Māori and their whānau reported that staff acknowledge and respect their individual cultural needs. Staff have received education on cultural 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family/whānau representative of choice are consulted on their individual values and beliefs, including ethnic, cultural and spiritual values and beliefs, on admission assessment. Residents or residents’ representative of choice or enduring power of attorney (EPOA) where appropriate provided this information during the admission process as confirmed in interviews. Interviewed residents and family/whānau confirmed that individual values and beliefs are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staff in providing care in a culturally safe manner. The care plans reviewed included residents’ individual preferences, required interventions and special needs. </w:t>
            </w:r>
          </w:p>
          <w:p w:rsidR="00EB7645" w:rsidRPr="00BE00C7" w:rsidP="00BE00C7">
            <w:pPr>
              <w:pStyle w:val="OutcomeDescription"/>
              <w:spacing w:before="120" w:after="120"/>
              <w:rPr>
                <w:rFonts w:cs="Arial"/>
                <w:b w:val="0"/>
                <w:lang w:eastAsia="en-NZ"/>
              </w:rPr>
            </w:pPr>
            <w:r w:rsidRPr="00BE00C7">
              <w:rPr>
                <w:rFonts w:cs="Arial"/>
                <w:b w:val="0"/>
                <w:lang w:eastAsia="en-NZ"/>
              </w:rPr>
              <w:t>The satisfaction survey confirmed that individual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current policies and procedures that outline the safeguards to protect residents from discrimination, coercion, harassment, sexual, financial or any other exploitation. Residents, family/whanau, including the EPOAs for residents in the dementia units and the GP stated that residents were free from any type of discrimination, harassment or exploitation and felt safe.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process for staff includes education related to professional boundaries, expected behaviours and the Code of Conduct.  These are included in the employee handbook and are discussed with all staff during orientation period. The registered nurses ((RNs) have completed training on professional boundaries. </w:t>
            </w:r>
          </w:p>
          <w:p w:rsidR="00EB7645" w:rsidRPr="00BE00C7" w:rsidP="00BE00C7">
            <w:pPr>
              <w:pStyle w:val="OutcomeDescription"/>
              <w:spacing w:before="120" w:after="120"/>
              <w:rPr>
                <w:rFonts w:cs="Arial"/>
                <w:b w:val="0"/>
                <w:lang w:eastAsia="en-NZ"/>
              </w:rPr>
            </w:pPr>
            <w:r w:rsidRPr="00BE00C7">
              <w:rPr>
                <w:rFonts w:cs="Arial"/>
                <w:b w:val="0"/>
                <w:lang w:eastAsia="en-NZ"/>
              </w:rPr>
              <w:t>Staff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Eastcare Residential Home encourages and promotes good practice through evidence-based policies that are reviewed regularly and regular internal audits. The service works in collaboration with external specialist services and allied health professionals, for example, wound care specialist and mental health services for older persons where required. The GP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receive regular education that includes mandatory training topics. This was confirmed by the interviewed staff and staff training records reviewed. The training calendar for the year and education evaluation records were sighted. The RNs have access to external education through the local hospital board, though this was limited over the past year due to COVID-19 pandemic restrictions. Staff reported that they receive support from senior staff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Interviewed residents, family/whānau and EPOAs for residents in the dementia unit stated they were kept well informed about any changes to their/their relative’s status, were advised in a timely manner about any incidents or accidents and outcomes of regular and any urgent medical reviews. This was evident in residents’ records reviewed. The GP confirmed that meetings with family/whānau are arranged by the clinical manager if requested or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was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stated that during the admission process residents who do not have English as their first language are offered availability of interpreting services. Access to interpreter services is through the local district hospital board. Staff knew how to access interpreter services, although reported this was rarely required due to most residents able to speak English. Staff can provide interpretation as and when needed, or family/ whānau and EPOAs are used for those with communication difficulties. Written communication and verbal ques are some of the methods used for residents who had communication difficulties. Email communication records were sighted in the residents’ files sampled.</w:t>
            </w:r>
          </w:p>
          <w:p w:rsidR="00EB7645" w:rsidRPr="00BE00C7" w:rsidP="00BE00C7">
            <w:pPr>
              <w:pStyle w:val="OutcomeDescription"/>
              <w:spacing w:before="120" w:after="120"/>
              <w:rPr>
                <w:rFonts w:cs="Arial"/>
                <w:b w:val="0"/>
                <w:lang w:eastAsia="en-NZ"/>
              </w:rPr>
            </w:pPr>
            <w:r w:rsidRPr="00BE00C7">
              <w:rPr>
                <w:rFonts w:cs="Arial"/>
                <w:b w:val="0"/>
                <w:lang w:eastAsia="en-NZ"/>
              </w:rPr>
              <w:t>There is a family/ whanau room that is utilised for meetings as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company (Kaylex Care Ltd) has an overarching strategic/business and risk plan for the two facilities it operates, and each facility has a unique annual business plan.  This described a family centred approach as required for dementia services. </w:t>
            </w:r>
          </w:p>
          <w:p w:rsidR="00EB7645" w:rsidRPr="00BE00C7" w:rsidP="00BE00C7">
            <w:pPr>
              <w:pStyle w:val="OutcomeDescription"/>
              <w:spacing w:before="120" w:after="120"/>
              <w:rPr>
                <w:rFonts w:cs="Arial"/>
                <w:b w:val="0"/>
                <w:lang w:eastAsia="en-NZ"/>
              </w:rPr>
            </w:pPr>
            <w:r w:rsidRPr="00BE00C7">
              <w:rPr>
                <w:rFonts w:cs="Arial"/>
                <w:b w:val="0"/>
                <w:lang w:eastAsia="en-NZ"/>
              </w:rPr>
              <w:t>Although there is frequent communication between the facility manager, operations manager and governance (the general manager) there is a requirement in criterion 1.2.1.1 for the facility manager to provide more detailed and comprehensive reports to the general manager. The current quality and risk plan for Eastcare Residential Home contains a set of new goals for 2022. Progress against these need to be included in reports to the general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facility manager (FM) was appointed in October 2021. This person who is a registered nurse (RN) with a current practising certificate, has 27 years’ experience managing and nursing in age care facilities. They have been fully supported and oriented to the role by the operations manager who has worked for the company as an RN and FM for 12 years.  The onsite fulltime clinical manager (CM) oversees clinical matters.  The clinical manager has been in the role for 18 months and is sufficiently experienced as an RN working in aged care environments. Both the FM and CM are experienced in the care of people with dementia and are attending at least eight hours of professional development related to their roles, each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this audit, there were 38 residents occupying the available maximum of 46 beds under the DHB age related residential care contract (ARRC). There are 15 rooms allocated for rest home care and 31 rooms for dementia level care spread across two units. One unit has a maximum 15 beds and the other has 16 beds. One bedroom in Tui wing was decommissioned in 2019.  The organisation also has DHB agreements for short stay/respite service and day attendance for people diagnosed with dementia. There were no respite residents and the day programme has not operated since March 2020 and the onset of the Covid pandemic.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of the residents on site were assessed as requiring rest home level care, one was receiving hospital level care (under current dispensation) and 23 people, across the two dementia wings, required secure care. All are long term placements. One resident was under the age of 65 years and funded under the long term support-chronic health care (LTS-CHC) scheme.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their role is substituted by the RN, with support from the operations manager who manages the other aged care facility in Hawke’s Bay. This person was managing the facility during the transition of facility managers and is informed about the residents and their care needs. A senior RN from the Hawke’s Bay facility would also be seconded to back fill the clinical manger’s role if needed, otherwise the FM who is also an RN, covers the clinical managers’ role during any planned or unplanned absences. </w:t>
            </w:r>
          </w:p>
          <w:p w:rsidR="00EB7645" w:rsidRPr="00BE00C7" w:rsidP="00BE00C7">
            <w:pPr>
              <w:pStyle w:val="OutcomeDescription"/>
              <w:spacing w:before="120" w:after="120"/>
              <w:rPr>
                <w:rFonts w:cs="Arial"/>
                <w:b w:val="0"/>
                <w:lang w:eastAsia="en-NZ"/>
              </w:rPr>
            </w:pPr>
            <w:r w:rsidRPr="00BE00C7">
              <w:rPr>
                <w:rFonts w:cs="Arial"/>
                <w:b w:val="0"/>
                <w:lang w:eastAsia="en-NZ"/>
              </w:rPr>
              <w:t>Staff and the families and residents interviewed said services were managed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quality and risk management system which includes policies and procedures. 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These are controlled and updated two yearly or as required to meet known safe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quality/risk system includes collecting data from incidents and complaints, surveillance of infections, the results of internal audits and monitoring the effect of actions to remedy any deficits. Regular resident and family satisfaction surveys are conducted. Outcomes from the 2021 and responses received so far from the 2022 satisfaction surveys reveal good to high satisfaction with the services being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said that they were consulted about any proposed changes in the service and were kept informed at their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number and type of incidents/accidents and infections are collated by the RN every month. This requires an improvement (Refer criterion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statistical and narrative data was displayed in the staff room, and any adverse events are communicated at shift handover. These events are further discussed at monthly staff meetings. Documented evidence of corrective actions was sighted on incident/accident reports, on the internal audit tools where a deficit or gap is identified, in the hazards register, and in complaints documentation. The service develops quality improvement plans when service deficiencies or opportunities to improve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annual quality plan, business plan and associated emergency plans, document actual and potential risk to the business, service delivery, staff and/or visitors’ health and safety. Health and safety policies comply with the current legislation, and the manager who is the health and safety officer has completed the stage one health and safety representative training (unit standard 29315) by Worksafe NZ.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Environmental risks were observed to be communicated to visitors, staff and residents as required, through notices, or verbally, depending on the nature of the risk.  For example, vaccine passport checks occur before entry to the home and requests to sanitise hands and don masks were happening for every visitor and staff. Review of staff meeting minutes showed that quality matters, and health and safety is presented for discussion at general staff monthly meetings. The health and safety committee meets each month to monitor and implement actions to meet health and safety requirements. There have been no injuries which required notification to Worksafe NZ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well known and established processes for the reporting, recording, investigation and review of all incidents and accidents. Review of onsite documents and interviews with staff and management confirmed that incidents were discussed at staff meetings. There is an improvement required related to collation and analysis of adverse event data in criterion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review of incident data on the days of audit confirmed that incidents are communicated at shift handover, and further discussed at monthly staff meetings. Each resident’s care record contained a summary of incidents which facilitates a ready review of 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responsible for essential notifications and reporting and understood the statutory and regulatory obligations. Notifications about the appointment of the new facility manger and an unexpected death in late December 2021 had been reported to the Ministry of Health as required under section 31 of the Health and Disability (safety) 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annual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Two new staff reported that the orientation process prepared them well for their role.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which included: emergency procedures; health and safety; managing challenging behaviours; communication; and infection control. Specific training related to Covid precautions and management, such as mask use, donning and doffing protective equipment, had been delivered to all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staff have either completed or commenced a New Zealand Qualification Authority education programme to meet the requirements of the provider’s agreement with the DHB. Of the 24 care staff, four have completed level 4 of the national certificated in health and wellness, three have completed level 3, two are at level two and three new staff are enrolled to begin training. </w:t>
            </w:r>
          </w:p>
          <w:p w:rsidR="00EB7645" w:rsidRPr="00BE00C7" w:rsidP="00BE00C7">
            <w:pPr>
              <w:pStyle w:val="OutcomeDescription"/>
              <w:spacing w:before="120" w:after="120"/>
              <w:rPr>
                <w:rFonts w:cs="Arial"/>
                <w:b w:val="0"/>
                <w:lang w:eastAsia="en-NZ"/>
              </w:rPr>
            </w:pPr>
            <w:r w:rsidRPr="00BE00C7">
              <w:rPr>
                <w:rFonts w:cs="Arial"/>
                <w:b w:val="0"/>
                <w:lang w:eastAsia="en-NZ"/>
              </w:rPr>
              <w:t>All staff working in the dementia care areas have either completed or are enrolled to complete the required dementia care unit standards 23920-2392.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RNs (the FM and the CM) are trained and maintaining their competencies with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staff records reviewed showed attendance at ongoing training and completion of annual performance appraisals. All the care staff on duty have a current first aid certificate as does the CM and FM.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process for determining staffing levels and skill mixes to provide safe service delivery, 24 hours a day, seven days a week (24/7) is documented and implemented. The facility adjusts staffing levels to meet the changing needs of residents. Care staff said there were enough staff on each shift to complete the tasks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with absent staff replaced by existing staff doing extra hours. There were five caregivers allocated across the facility for each morning and afternoon shift and two at night. The CM/RN and the FM/RN are onsite Monday to Friday between 8.30 and 5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staff hours allocated for meal preparation and service, cleaning and laundry seven days a week, and a fulltime employed activities person. Recruitment for a maintenance person is underway. The maintenance person from the other facility is on site two days a week in the interim.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paper based and all staff document in progress notes. The residents’ files are colour coded for each unit. The RNs complete care plans electronically, and copies are printed and put in the residents’ paper file. These documents were sighted in the residents’ clinical records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demographic, personal, clinical and health information was fully completed in the residents’ files sampled for review. Clinical notes were current and integrated with GP and allied health service provider notes. This included interRAI assessment information entered into the Momentum electronic database and reports printed and stored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were legible with the name and designation of the person making the entry identifiable.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records are electronic in the electronic medication management system in use. </w:t>
            </w:r>
          </w:p>
          <w:p w:rsidR="00EB7645" w:rsidRPr="00BE00C7" w:rsidP="00BE00C7">
            <w:pPr>
              <w:pStyle w:val="OutcomeDescription"/>
              <w:spacing w:before="120" w:after="120"/>
              <w:rPr>
                <w:rFonts w:cs="Arial"/>
                <w:b w:val="0"/>
                <w:lang w:eastAsia="en-NZ"/>
              </w:rPr>
            </w:pPr>
            <w:r w:rsidRPr="00BE00C7">
              <w:rPr>
                <w:rFonts w:cs="Arial"/>
                <w:b w:val="0"/>
                <w:lang w:eastAsia="en-NZ"/>
              </w:rPr>
              <w:t>Staff have individual passwords to access the electronic systems.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The clinical manager is responsible for archiving clinical records. Residents’ information is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 The residents’ files were kept in locked nurses’ station. A shredder is used for destruction of unwanted confidential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by the facility manager (FM) and the clinical manager (CM) in a competent, timely and respectful manner. There is an admission policy and procedure to guide staff. Access processes and entry criteria, assessment and entry screening processes are documented in the service’s information booklet. The processes are explained to prospective residents, their family/whanau of choice or EPOAs where appropriate, local communities and referral agencies when needed. Services provided are clearly stated on the services website and information booklet. Prospective residents and/or their family/whānau are encouraged to visit the service prior to admission and are provided with written information about the service and the admission process. A tour of the facility is conducted at that time if desired. </w:t>
            </w:r>
          </w:p>
          <w:p w:rsidR="00EB7645" w:rsidRPr="00BE00C7" w:rsidP="00BE00C7">
            <w:pPr>
              <w:pStyle w:val="OutcomeDescription"/>
              <w:spacing w:before="120" w:after="120"/>
              <w:rPr>
                <w:rFonts w:cs="Arial"/>
                <w:b w:val="0"/>
                <w:lang w:eastAsia="en-NZ"/>
              </w:rPr>
            </w:pPr>
            <w:r w:rsidRPr="00BE00C7">
              <w:rPr>
                <w:rFonts w:cs="Arial"/>
                <w:b w:val="0"/>
                <w:lang w:eastAsia="en-NZ"/>
              </w:rPr>
              <w:t>The FM and CM are responsible for the admission process. The sampled files confirmed that residents enter the service when their required level of care has been assessed and confirmed by the local Needs Assessment and Service Coordination (NASC) Service. NASC assessment forms with the documented level of care were sighted in the residents’ files sampled.</w:t>
            </w:r>
          </w:p>
          <w:p w:rsidR="00EB7645" w:rsidRPr="00BE00C7" w:rsidP="00BE00C7">
            <w:pPr>
              <w:pStyle w:val="OutcomeDescription"/>
              <w:spacing w:before="120" w:after="120"/>
              <w:rPr>
                <w:rFonts w:cs="Arial"/>
                <w:b w:val="0"/>
                <w:lang w:eastAsia="en-NZ"/>
              </w:rPr>
            </w:pPr>
            <w:r w:rsidRPr="00BE00C7">
              <w:rPr>
                <w:rFonts w:cs="Arial"/>
                <w:b w:val="0"/>
                <w:lang w:eastAsia="en-NZ"/>
              </w:rPr>
              <w:t>Family/whanau, EPOAs and residents interviewed stated they were satisfied with the admission process and the information that had been made available to them on admission. Residents in the secure dementia units were admitted with the consent of their EPOAs. Signed admission agreements were sighted in the residents’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discharge or transfer is planned and coordinated by the CM and FM. An escort is provided as appropriate.  The service uses the DHB’s ‘yellow envelope’ system to facilitate transfer of residents to and from acute care services. Open communication between all services, the resident and the family/whanau were evidenced in the transfer records sighted. The transfer records for a resident that was transferred to acute services demonstrated that appropriate information was provided for the ongoing management of the resident.  All referrals were documented in the progress notes.  Family of the resident reported being kept well informed during the transfer of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The CM stated that if the needs of a resident change and they are no longer suitable for the services offered, a referral for reassessment to the NASC is made and a new placement found, in consultation with the resident, whānau/family or EPOA. Documentation to evidence this was sighted for a resident who was transferred to another facility. The access agreement has a clause related to when a resident’s placement can be terminated, and this is explained to the residents and family/ whanau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Eastcare Residential Home has a safe electronic medication management system in place that was observed on the days of the audit. The medication management policy is current and identified all aspects of medicine management in line with safe practice guidelines and current legislative requirements. Staff who administer medication had current medication administration competencies. A list of medication administration competent caregivers was maintained and was accessible to all staff.</w:t>
            </w:r>
          </w:p>
          <w:p w:rsidR="00EB7645" w:rsidRPr="00BE00C7" w:rsidP="00BE00C7">
            <w:pPr>
              <w:pStyle w:val="OutcomeDescription"/>
              <w:spacing w:before="120" w:after="120"/>
              <w:rPr>
                <w:rFonts w:cs="Arial"/>
                <w:b w:val="0"/>
                <w:lang w:eastAsia="en-NZ"/>
              </w:rPr>
            </w:pPr>
            <w:r w:rsidRPr="00BE00C7">
              <w:rPr>
                <w:rFonts w:cs="Arial"/>
                <w:b w:val="0"/>
                <w:lang w:eastAsia="en-NZ"/>
              </w:rPr>
              <w:t>The caregivers observed administering medicines demonstrated good knowledge and had a clear understanding of their roles and responsibilities related to each stage of medicine management. Medicines were stored safely in the locked cupboards and medicine trolley in the medication room. Staff have individual passwords to access the electronic medicine records. The medicine fridge temperature was monitored, and records were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service in a pre-packaged format from a contracted pharmacy. The CM completes the medication reconciliation upon residents’ readmission from an acute service and when medication is received from the pharmacy. Clinical pharmacist input is provided on request. Unwanted medicines are returned to the pharmacy in a timely manner. There were no expired medicines in stock.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were stored securely in accordance with requirements and checked by two staff for accuracy when administering. The controlled drug register provided evidence of weekly and six-monthly stock checks and accurate entries. A current staff signature register was sighted. </w:t>
            </w:r>
          </w:p>
          <w:p w:rsidR="00EB7645" w:rsidRPr="00BE00C7" w:rsidP="00BE00C7">
            <w:pPr>
              <w:pStyle w:val="OutcomeDescription"/>
              <w:spacing w:before="120" w:after="120"/>
              <w:rPr>
                <w:rFonts w:cs="Arial"/>
                <w:b w:val="0"/>
                <w:lang w:eastAsia="en-NZ"/>
              </w:rPr>
            </w:pPr>
            <w:r w:rsidRPr="00BE00C7">
              <w:rPr>
                <w:rFonts w:cs="Arial"/>
                <w:b w:val="0"/>
                <w:lang w:eastAsia="en-NZ"/>
              </w:rPr>
              <w:t>The CM reported that any medication errors are documented, and appropriate investigations will be completed. There were no medication errors recorded within the past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Three-monthly medication reviews were consistently completed by the GP, as evidenced on electronic medicine charts reviewed. Dates were recorded on the commencement and discontinuation of medicines. Evaluation of pro re nata (PRN) medicines administered were completed consistently.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Appropriate processes were in place to ensure this was managed in a safe manner when required. Interviewed staff demonstrated awareness of the medication self-administration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onsite by three cooks who have completed basic food safety training. Food, fluid and nutritional needs of the residents are provided in line with recognised nutritional guidelines for older people. There is a summer and winter menu that rotates on a four-weekly cycle. The menu was reviewed by a qualified dietitian on 10 November 2021. Recommendations made at that time have been implemented. The service operates with an approved and current food safety plan and registration issued by the Ministry of Primary Industries expiring on 27 June 2022. Regular external food verification audits were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nutritional needs were identified on admission and a dietary profile developed. Special dietary requirements, including likes, dislikes and allergies were identified and accommodated in the meal plan. Nutritional supplements were provided for residents with loss of weight issues. Residents in the secure unit always have access to food and fluids to meet their nutritional needs. </w:t>
            </w:r>
          </w:p>
          <w:p w:rsidR="00EB7645" w:rsidRPr="00BE00C7" w:rsidP="00BE00C7">
            <w:pPr>
              <w:pStyle w:val="OutcomeDescription"/>
              <w:spacing w:before="120" w:after="120"/>
              <w:rPr>
                <w:rFonts w:cs="Arial"/>
                <w:b w:val="0"/>
                <w:lang w:eastAsia="en-NZ"/>
              </w:rPr>
            </w:pPr>
            <w:r w:rsidRPr="00BE00C7">
              <w:rPr>
                <w:rFonts w:cs="Arial"/>
                <w:b w:val="0"/>
                <w:lang w:eastAsia="en-NZ"/>
              </w:rPr>
              <w:t>Special equipment, to meet residents’ nutritional needs, was available. The meals are served in dining rooms in each unit and residents who do not want to go to the dining rooms can have meals served in their room as desired. The kitchen staff coordinates special celebration with the activities staff.</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family/whānau reported satisfaction with the food service, and this was verified in the satisfaction surveys sighted. Residents can provide feedback on the meals in monthly residents’ meetings or as when needed. Regular kitchen staff and management meetings are held. Meeting minutes were sighted.  Alternate food options are provided per request. On the day of the audit residents were given enough time to eat their meals in an unhurried fashion.</w:t>
            </w:r>
          </w:p>
          <w:p w:rsidR="00EB7645" w:rsidRPr="00BE00C7" w:rsidP="00BE00C7">
            <w:pPr>
              <w:pStyle w:val="OutcomeDescription"/>
              <w:spacing w:before="120" w:after="120"/>
              <w:rPr>
                <w:rFonts w:cs="Arial"/>
                <w:b w:val="0"/>
                <w:lang w:eastAsia="en-NZ"/>
              </w:rPr>
            </w:pPr>
            <w:r w:rsidRPr="00BE00C7">
              <w:rPr>
                <w:rFonts w:cs="Arial"/>
                <w:b w:val="0"/>
                <w:lang w:eastAsia="en-NZ"/>
              </w:rPr>
              <w:t>Some bench surfaces and cupboards in the kitchen were degraded and poses a potential risk of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manager stated that a referral can be declined if the prospective resident does not meet the entry criteria or there is no vacancy. The local NASC is advised to ensure the prospective resident and family/whānau are supported to find an appropriate care alternative. The prospective resident and family/ whānau will be advised of the reason for the decline and will be informed of other alternative services available or referred to NASC 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assessments were completed on admission using the organisation’s initial assessment form. The assessed areas included pain, falls risk, pressure area risk, nutrition, continence, personal cares and behaviour, as a means to identify any deficits and to inform care planning within 24 hours of admission. Behaviour assessments including triggers and ways to manage the behaviours were completed for residents in the dementia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were completed within three weeks of admission, routinely six-monthly and when there was a significant change in the resident’s condition. The sample of care plans reviewed had an integrated range of resident-related information. All residents had current interRAI assessments completed and the relevant outcome scores have supported care plan goals and interventions. </w:t>
            </w:r>
          </w:p>
          <w:p w:rsidR="00EB7645" w:rsidRPr="00BE00C7" w:rsidP="00BE00C7">
            <w:pPr>
              <w:pStyle w:val="OutcomeDescription"/>
              <w:spacing w:before="120" w:after="120"/>
              <w:rPr>
                <w:rFonts w:cs="Arial"/>
                <w:b w:val="0"/>
                <w:lang w:eastAsia="en-NZ"/>
              </w:rPr>
            </w:pPr>
            <w:r w:rsidRPr="00BE00C7">
              <w:rPr>
                <w:rFonts w:cs="Arial"/>
                <w:b w:val="0"/>
                <w:lang w:eastAsia="en-NZ"/>
              </w:rPr>
              <w:t>Residents, families/whānau and EPOAs for residents in the dementia units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reflected the support needs of residents, and the outcomes of the integrated assessment process and other relevant clinical information. The needs identified by the interRAI assessments were reflected in care plans reviewed. Behaviour management care plans were completed for residents in the dementia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integration was evidenced in the care plans with progress notes, activities assessments, medical and allied health professionals’ notations clearly written, informative and relevant. Changes in care required was documented and verbally passed on to relevant staff at the start of each shift and during the daily head of department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family/whānau and EPOAs confirmed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sampled residents’ care plans, observations and interviews verified that care provided to residents was consistent with their needs, goals, and the plan of care. The attention to meeting a diverse range of resident’s individualised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Significant changes were reported in a timely manner and prescribed orders carried out satisfactorily as confirmed by the GP in the interview conducted.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nursing observations monitoring was completed for all residents, and records were maintained. Care staff confirmed that care was provided as outlined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(AC) under the direction of a diversional therapist who was on leave on the days of the audit. The AC is in the process of completing NZQA approved dementia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activity needs are assessed as part of the admission process with input from the resident and family/whānau to ascertain residents’ needs, interests, abilities, and social requirements. The AC completes the 24-hour activity plans for the residents in the dementia unit while the CM and the FM completes activities care plans as part of the long-term care plans for all residents with input from the AC. The activities programme is regularly reviewed to help formulate an activities programme that is meaningful to the residents through monthly residents’ meetings and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participation register was completed daily as evidenced in the records reviewed. The residents’ activity needs were evaluated when there was a significant change in participation and as part of the formal six-monthly interRAI assessment and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 monthly calendar was posted on the notice boards around the service. Activities reflected residents’ goals, ordinary patterns of life and included normal community activities. Individual, group activities and regular events are offered. Residents were observed participating in a variety of activities on the days of the audit. Activities on the programme included walking groups, newspaper reading, gardening, weekly church services, puzzles, exercises, music, external entertainment, movies, and birthday celebrations. The interviewed residents confirmed that they find the programme satisfactory.</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in the secure dementia unit are specific to the needs and abilities of the people living with dementia. The AC stated that activities are adapted to meet the residents’ needs and mood. The residents were observed participating actively in activities on the days of the audit and were given an opportunity and choice to participate or not. The residents were observed walking freely in and out of the secure gardens. The staff were observed communicating with residents in a respectful manner during the activity sessions observed on the days of the audit. Activities are offered at times when residents are most physically active and/or restless. This includes short walks in the secure garden, colouring, art and craft.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caregivers. The caregivers reported that any changes noted are reported to the CM. This was confirmed in the handover observed and in residents’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Routine care plan evaluations were completed every six months following the six-monthly interRAI reassessment, or as residents’ needs change. Where progress was different from expected, changes were made to the plan of care. Short-term care plans were consistently reviewed, and progress evaluated as clinically indicated for wounds, skin, and urinary tract infections. Multi-disciplinary review meetings were conducted six-monthly with the family/whanau, EPOA for residents in the dementia units and the nursing team. Residents and family/whānau interviewed confirmed being involved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If the need for other non-urgent services is indicated or requested, the GP, CM or FM sends a referral to seek specialist input. Evidence of EPOA involvement for referrals for residents in the dementia unit was sighted in residents’ records sampled. Copies of referrals sighted included referrals to the mental health team, radiology, and dietitian. The resident and the family/whānau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the public hospital in an ambulance if the circumstances dictate. Urgent referral records were sighted in the residents’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handle chemicals have completed safe chemical handling training. An external company is contracted to supply and manage chemicals and cleaning products and provide staff with product information.  Material safety data sheets were available where cleaning and laundry chemicals are stored, and staff interviewed knew what to do should any chemical spill/event occur.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supplies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December 2022)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environment since the previous audit in 2020. The building layout, design features and furniture in both dementia units is safe and suited for the needs of confused older people. There are pictorial signs on the toilets and bathrooms and each resident’s bedroom is identified with name and images that the individual relates to.</w:t>
            </w:r>
          </w:p>
          <w:p w:rsidR="00EB7645" w:rsidRPr="00BE00C7" w:rsidP="00BE00C7">
            <w:pPr>
              <w:pStyle w:val="OutcomeDescription"/>
              <w:spacing w:before="120" w:after="120"/>
              <w:rPr>
                <w:rFonts w:cs="Arial"/>
                <w:b w:val="0"/>
                <w:lang w:eastAsia="en-NZ"/>
              </w:rPr>
            </w:pPr>
            <w:r w:rsidRPr="00BE00C7">
              <w:rPr>
                <w:rFonts w:cs="Arial"/>
                <w:b w:val="0"/>
                <w:lang w:eastAsia="en-NZ"/>
              </w:rPr>
              <w:t>Electrical items are regularly tested and tagged by the maintenance person who is certificated to do this. Visual inspection, records reviewed and interviews with maintenance staff and staff confirmed that planned and reactive repairs and maintenance is ongoing. The building, chattels and equipment are in good repair. Medical equipment (for example, blood pressure monitors, weigh scales, and the two hoists) are being serviced and recalibrated annually. External areas are being maintained by gardening contractors. These were observed to be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numbers of accessible bathroom and toilet facilities throughout the facility. All toilet and shower facilities are shared, with a total of seven bathrooms and eleven toilets allocated for residents. All bathrooms and toilets have functional locking systems for privacy. A staff and a visitors’ toilet are designated.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residents’ independence. All ablution areas were in good condition. </w:t>
            </w:r>
          </w:p>
          <w:p w:rsidR="00EB7645" w:rsidRPr="00BE00C7" w:rsidP="00BE00C7">
            <w:pPr>
              <w:pStyle w:val="OutcomeDescription"/>
              <w:spacing w:before="120" w:after="120"/>
              <w:rPr>
                <w:rFonts w:cs="Arial"/>
                <w:b w:val="0"/>
                <w:lang w:eastAsia="en-NZ"/>
              </w:rPr>
            </w:pPr>
            <w:r w:rsidRPr="00BE00C7">
              <w:rPr>
                <w:rFonts w:cs="Arial"/>
                <w:b w:val="0"/>
                <w:lang w:eastAsia="en-NZ"/>
              </w:rPr>
              <w:t>The testing and monitoring of hot water temperatures occurs monthly. Records showed that temperatures are within a safe range.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have a single occupant. Attention is paid to the layout of furniture in bedrooms to allow residents and staff to move around safely. There was evidence that residents had their own furniture and possessions. Sufficient space is available to store mobility aids and wheelchairs.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three wings has its own lounge and dining room and these are located within easy walking distance from the resident’s bedrooms.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quiet areas for families to visit their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Designated cleaning and laundry staff are on site seven days a week. These staff have achieved qualifications in safe handling of chemicals and are provided with ongoing health and safety education as confirmed in interview with staff and review of their personnel records. </w:t>
            </w:r>
          </w:p>
          <w:p w:rsidR="00EB7645" w:rsidRPr="00BE00C7" w:rsidP="00BE00C7">
            <w:pPr>
              <w:pStyle w:val="OutcomeDescription"/>
              <w:spacing w:before="120" w:after="120"/>
              <w:rPr>
                <w:rFonts w:cs="Arial"/>
                <w:b w:val="0"/>
                <w:lang w:eastAsia="en-NZ"/>
              </w:rPr>
            </w:pPr>
            <w:r w:rsidRPr="00BE00C7">
              <w:rPr>
                <w:rFonts w:cs="Arial"/>
                <w:b w:val="0"/>
                <w:lang w:eastAsia="en-NZ"/>
              </w:rPr>
              <w:t>Staff follow established routines for cleaning and all areas are maintained as hygienic. Site inspection revealed no concerns with daily cleaning. Chemicals are decanted into clearly labelled containers.</w:t>
            </w:r>
          </w:p>
          <w:p w:rsidR="00EB7645" w:rsidRPr="00BE00C7" w:rsidP="00BE00C7">
            <w:pPr>
              <w:pStyle w:val="OutcomeDescription"/>
              <w:spacing w:before="120" w:after="120"/>
              <w:rPr>
                <w:rFonts w:cs="Arial"/>
                <w:b w:val="0"/>
                <w:lang w:eastAsia="en-NZ"/>
              </w:rPr>
            </w:pPr>
            <w:r w:rsidRPr="00BE00C7">
              <w:rPr>
                <w:rFonts w:cs="Arial"/>
                <w:b w:val="0"/>
                <w:lang w:eastAsia="en-NZ"/>
              </w:rPr>
              <w:t>The laundry is being managed on site according to known protocols for dirty/clean flow and the handling of soiled linen. There have been no concerns expressed from staff, resident or relatives about cleaning or laundry services since the previous audit.  Cleaning and laundry processes are routinely monitored for effectiveness via the internal audit programme, from the external cleaning product supplier and through resident/family surveys and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fire evacuation scheme was approved by the New Zealand Fire Service in November 2010 after changes to the building footprint. The most recent fire drill occurred on 20 January 2022 and records showed this occurs every six months. Specific procedures for evacuating people with dementia are documented and known. Staff interviews confirmed their understanding of evacuation procedures in the two dementia wings. The recent trial evacuation did not identify any issues of concern in moving residents to safety and was completed within five minutes. The orientation programme includes fire and security training.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communication devices (a walkie talkie) and gas BBQ’s were sighted and meet the requirements for the maximum number of residents. Sufficient potable water (1600 litres) is stored in the building to meet the needs of 47 residents and staff for up to 10 days which exceeds the Ministry of Civil Defence and Emergency Management recommendations for the region. Adequate supplies for use in a pandemic are stored on site.</w:t>
            </w:r>
          </w:p>
          <w:p w:rsidR="00EB7645" w:rsidRPr="00BE00C7" w:rsidP="00BE00C7">
            <w:pPr>
              <w:pStyle w:val="OutcomeDescription"/>
              <w:spacing w:before="120" w:after="120"/>
              <w:rPr>
                <w:rFonts w:cs="Arial"/>
                <w:b w:val="0"/>
                <w:lang w:eastAsia="en-NZ"/>
              </w:rPr>
            </w:pPr>
            <w:r w:rsidRPr="00BE00C7">
              <w:rPr>
                <w:rFonts w:cs="Arial"/>
                <w:b w:val="0"/>
                <w:lang w:eastAsia="en-NZ"/>
              </w:rPr>
              <w:t>Apart from a backup battery for lighting (which is regularly tested) there are no generators on site for power outages. The protocol is to hire one.</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Staff were observed to respond within reasonable timeframes to these.</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There are security stays on all windows.  The only access to the building is via the main entrance, and this door is locked at a 5pm each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bedrooms and communal areas have sufficiently sized windows and opening doors for ventilation. Each communal area has at least one heat pump which provides warmth or cooling, and electric panel heaters are in each bedroom. Family and residents interviewed said the home was kept at a comfortable temperature in all seasons.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infection prevention and control (IPC) programme to minimise the risk of infection to residents, staff, and visitors. The programme is guided by a comprehensive and current infection control manual, with input from external specialists. The infection control programme is reviewed annually and last reviewed on 14 January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is the designated infection control coordinator (ICC), whose role and responsibilities are defined in their job description. The ICC is supported by the FM. Infection control matters, including surveillance results, are reported monthly to all staff, and tabled at the management and staff meetings. The IPC committee includes the CM, FM manager, a senior caregiver, a cook and household representatives. </w:t>
            </w:r>
          </w:p>
          <w:p w:rsidR="00EB7645" w:rsidRPr="00BE00C7" w:rsidP="00BE00C7">
            <w:pPr>
              <w:pStyle w:val="OutcomeDescription"/>
              <w:spacing w:before="120" w:after="120"/>
              <w:rPr>
                <w:rFonts w:cs="Arial"/>
                <w:b w:val="0"/>
                <w:lang w:eastAsia="en-NZ"/>
              </w:rPr>
            </w:pPr>
            <w:r w:rsidRPr="00BE00C7">
              <w:rPr>
                <w:rFonts w:cs="Arial"/>
                <w:b w:val="0"/>
                <w:lang w:eastAsia="en-NZ"/>
              </w:rPr>
              <w:t>There is signage at the main entrance to the facility requesting anyone who is or has been unwell with flu like symptoms in the past 48 hours, not to enter the facility. The interviewed staff understood their responsibilities on how long they must stay away from work if they have been unwell. Covid-19 contact tracing information was maintained and symptoms check was completed for all visitors at the reception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been in this role for one and a half years and has appropriate skills and knowledge for the role. They have attended relevant infection prevention and control education, as verified in training records sighted. Additional support and information are accessed from the infection control team at the DHB, the community laboratory, the GP and public health unit, as required. The ICC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 Adequate resources were sighted on the days of the audit. Updated information on COVID-19, including vaccination information was available and easily accessible to staff and residents. All eligible residents have received the COVID-19 vaccination. Vaccination consent forms were sighted in the residents’ files sampled for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reviewed in January 2021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sanitisers were readily available around the facility. The interviewed staff demonstrated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There was evidence that additional staff education has been provided in response to the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on a one-to-one basis for any infections and in groups during residents’ meetings. This included reminders about handwashing, advice about remaining in their room if they are unwell and increasing fluids during hot weather. COVID-19 pandemic infection prevention and control education was provided to residents in residents’ meetings and emails were send to family/whanau. This was verified in residents’ meeting minutes, short-term care plans sighted and in interviews with family/whanau.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multi-resistant organisms, skin, ear nose and throat and the upper and lower respiratory tract. Infection reports are completed for all infections and the ICC reviews all reported infections. New infections and any required management plans are discussed at handover, to ensure early intervention occurs. This was confirmed in the handover observed and in staff interviews.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Regular IPC audits were completed, and corrective actions were implemented as required. Results of the surveillance programme are shared with staff via regular staff meetings and at staff handovers. There have been no infection outbreaks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no restraint or enablers in use at the time of this audit and has always taken the approach of using alternatives to restraint. The only restraint interventions have been one off emergency restraint events. The last events recorded were in 2015. This is made clear in the organisation's restraint minimisation and safe practice policies and associated procedures. The reviewed policy meets the required Health and Disability Services Standards and clearly describes emergency restraint authorisations and the requirements to meet this standard if restraint is required. The definition of an enabler is congruent with the definition in NZS 8134.0.  </w:t>
            </w:r>
          </w:p>
          <w:p w:rsidR="00EB7645" w:rsidRPr="00BE00C7" w:rsidP="00BE00C7">
            <w:pPr>
              <w:pStyle w:val="OutcomeDescription"/>
              <w:spacing w:before="120" w:after="120"/>
              <w:rPr>
                <w:rFonts w:cs="Arial"/>
                <w:b w:val="0"/>
                <w:lang w:eastAsia="en-NZ"/>
              </w:rPr>
            </w:pPr>
            <w:r w:rsidRPr="00BE00C7">
              <w:rPr>
                <w:rFonts w:cs="Arial"/>
                <w:b w:val="0"/>
                <w:lang w:eastAsia="en-NZ"/>
              </w:rPr>
              <w:t>Sensor mats are in position to alert staff when residents who pose a falls risk are ambulatory. In-service education focuses on alternatives to restraint and managing challenging behaviour. Interviews with the staff and review of individual training records confirmed that education on maintaining a restraint free environment and safe practice occurs at orientation and at least every year after that.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7226"/>
        <w:gridCol w:w="2348"/>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Currently the reporting up to executive level/governance is occurring via weekly zoom meetings between the FM, operations manager and the general manager. Occupancy reports are submitted each month but there was no other written record of operational matters/service delivery or progress reporting against quality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auditable record of reports related to operational and service delivery matters such as quality and risk, staffing or progress toward meeting quality goals. Without this governance cannot ensure services are planned, coordinated and suitable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governance (GM) is kept fully informed about all aspects of service delivery at Eastcare including emerging risks, and improvements.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collates a monthly summary of incidents with a brief narration of events which is presented to staff at their meetings. Documents related to these are displayed in the staff room. The graphs produced by the software does not provide comparisons and are too small to easily interpret. This was rectified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monthly narration lacks detail, specifically unwanted patterns for individual residents (for example, increased frequency of unwanted behaviour) and no identification of upward (or downward) trends in each category reported. The data has not been compared across various timeframes to identify unwanted trends in, for example, falls, skin tears, infections, nor is there any external benchmarking. </w:t>
            </w:r>
          </w:p>
          <w:p w:rsidR="00EB7645" w:rsidRPr="00BE00C7" w:rsidP="00BE00C7">
            <w:pPr>
              <w:pStyle w:val="OutcomeDescription"/>
              <w:spacing w:before="120" w:after="120"/>
              <w:rPr>
                <w:rFonts w:cs="Arial"/>
                <w:b w:val="0"/>
                <w:lang w:eastAsia="en-NZ"/>
              </w:rPr>
            </w:pPr>
            <w:r w:rsidRPr="00BE00C7">
              <w:rPr>
                <w:rFonts w:cs="Arial"/>
                <w:b w:val="0"/>
                <w:lang w:eastAsia="en-NZ"/>
              </w:rPr>
              <w:t>Although staff are taking actions to prevent recurrence of incidents and manage potential risks associated with this, the lack of in depth analysis limits opportunities for identifying service shortfalls and identifying where interventions have halted unwanted trends.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insufficient analysis or comparison of incident/accident data to assist in identifying trends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an effective system for analysing and reporting trends in adverse events.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cook is responsible for food procurement through approved food suppliers. A stock rotation system is in place. There are adequate hand washing facilities in the kitchen. The kitchen staff were observed wearing appropriate personal protective equipment during meal preparation. Appropriate documentation was completed when food deliveries were received, and records were maintained. The kitchen and pantry were clean. Completed cleaning schedules were sighted. Food temperatures were monitored appropriately and recorded as part of the food control plan. Food, fridge, and freezer temperatures were monitored, and records maintained. Left-over food was covered and dated. Food in the pantry were within use by dates. Some kitchen cupboards and benches were worn out and this poses a potential risk for infection.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surfaces in the kitchen (cupboards and benches) are degraded and pose a risk of contamination.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kitchen surfaces are intact.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Kaylex Care Limited - Eastcare Residential Home</w:t>
    </w:r>
    <w:bookmarkEnd w:id="58"/>
    <w:r>
      <w:rPr>
        <w:rFonts w:cs="Arial"/>
        <w:sz w:val="16"/>
        <w:szCs w:val="20"/>
      </w:rPr>
      <w:tab/>
      <w:t xml:space="preserve">Date of Audit: </w:t>
    </w:r>
    <w:bookmarkStart w:id="59" w:name="AuditStartDate1"/>
    <w:r>
      <w:rPr>
        <w:rFonts w:cs="Arial"/>
        <w:sz w:val="16"/>
        <w:szCs w:val="20"/>
      </w:rPr>
      <w:t>26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