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New Windsor 2017 Limited - New Windsor Aged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New Windsor 2017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New Windsor Aged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2022</w:t>
      </w:r>
      <w:bookmarkEnd w:id="7"/>
      <w:r w:rsidRPr="009418D4">
        <w:rPr>
          <w:rFonts w:cs="Arial"/>
        </w:rPr>
        <w:tab/>
        <w:t xml:space="preserve">End date: </w:t>
      </w:r>
      <w:bookmarkStart w:id="8" w:name="AuditEndDate"/>
      <w:r w:rsidR="00A4268A">
        <w:rPr>
          <w:rFonts w:cs="Arial"/>
        </w:rPr>
        <w:t>15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New Windsor Aged Care provides rest home level of care for up to 27 residents. On the day of the audit there were 23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management, and a general practitioner. </w:t>
      </w:r>
    </w:p>
    <w:p w:rsidRPr="00A4268A">
      <w:pPr>
        <w:spacing w:before="240" w:line="276" w:lineRule="auto"/>
        <w:rPr>
          <w:rFonts w:eastAsia="Calibri"/>
        </w:rPr>
      </w:pPr>
      <w:r w:rsidRPr="00A4268A">
        <w:rPr>
          <w:rFonts w:eastAsia="Calibri"/>
        </w:rPr>
        <w:t xml:space="preserve">The managing director provides oversight of the facility with the assistant manager providing operational management. There is a registered nurse who provides onsite support during the week with a consultant (registered nurse) providing back-up when required. </w:t>
      </w:r>
    </w:p>
    <w:p w:rsidRPr="00A4268A">
      <w:pPr>
        <w:spacing w:before="240" w:line="276" w:lineRule="auto"/>
        <w:rPr>
          <w:rFonts w:eastAsia="Calibri"/>
        </w:rPr>
      </w:pPr>
      <w:r w:rsidRPr="00A4268A">
        <w:rPr>
          <w:rFonts w:eastAsia="Calibri"/>
        </w:rPr>
        <w:t xml:space="preserve">Feedback from residents and families was very positive about the care and services provided. </w:t>
      </w:r>
    </w:p>
    <w:p w:rsidRPr="00A4268A">
      <w:pPr>
        <w:spacing w:before="240" w:line="276" w:lineRule="auto"/>
        <w:rPr>
          <w:rFonts w:eastAsia="Calibri"/>
        </w:rPr>
      </w:pPr>
      <w:r w:rsidRPr="00A4268A">
        <w:rPr>
          <w:rFonts w:eastAsia="Calibri"/>
        </w:rPr>
        <w:t>This certification audit identified five shortfalls to neurological observations, dietitian input into menu planning, medication management, the fire evacuation scheme, and checking of electrical equipment. A rating of continuous improvement has been awarded around meeting cultural needs.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information presented to residents and their families during entry to the service. Verbal and written information is provided to residents and family in their language.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Cultural values and beliefs are understood and respected with the service providing a unique Chinese environment for residents identifying as Mandarin or Cantonese speaking.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Complaints processes are implemented, and complaints and concerns are managed appropriately. Very few complaints are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Quality and risk management processes are established. Business goals are documented for the service. The risk management programme includes a risk management plan, incident and accident reporting, and health and safety processes. Quality systems include regular monitoring of quality and risk data and an internal auditing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a regular staff education and training programme is in place. The registered nurse is on site for 10 hours a week.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Care plans are developed, maintained, and reviewed by the registered nurses. A registered nurse assesses and reviews residents' needs, outcomes, and goals with the resident and/or family/whānau input. Care plans viewed demonstrate service integration and are reviewed at least six-monthly. Resident files include medical notes by the contracted general practitioner (GP), and visiting allied health professionals. There is a medication management system in place that follows appropriate administration and storage practices. Each resident is reviewed at least three-monthly by their general practitioner. </w:t>
      </w:r>
    </w:p>
    <w:p w:rsidRPr="00A4268A" w:rsidP="00621629">
      <w:pPr>
        <w:spacing w:before="240" w:line="276" w:lineRule="auto"/>
        <w:rPr>
          <w:rFonts w:eastAsia="Calibri"/>
        </w:rPr>
      </w:pPr>
      <w:r w:rsidRPr="00A4268A">
        <w:rPr>
          <w:rFonts w:eastAsia="Calibri"/>
        </w:rPr>
        <w:t xml:space="preserve">A range of individual and group activities is available and coordinated by the activity’s coordinator. The activities coordinator implements the activity programme to meet the individual needs, preferences, and abilities of the residents. Residents are encouraged to maintain community links. There are regular entertainers, outings, and celebrations as covid restriction allow.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All meals are prepared on site. There is a culturally focused rotating seasonal menu in place, which is reviewed by a dietitian. Residents' food preferences are accommodated, and the residents and relatives reported satisfaction with the food service. There are nutritious snacks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External areas are safe and well maintained. Cleaning and laundry services are well monitored through the internal auditing system. Chemicals are stored securely throughout the facility. Staff receive training and education to ensure safe and appropriate handling of waste and hazardous substances. The building holds a current warrant of fitness. All medical equipment has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w:t>
      </w:r>
    </w:p>
    <w:p w:rsidRPr="00A4268A">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A staff member trained in CPR and first aid is on duty at all times. The facility is secure from dusk till dawn.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 service aims at zero use or restraint. There were no residents using restraint or enablers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manual outlines a comprehensive range of policies, standards and guidelines, training and education of staff and scope of the programme. The infection control coordinator (assistant manager) is responsible for coordinating/providing education and training for staff, and uses the information obtained through surveillance to determine infection control activities, resources and education needs within the facility. Infection incidents are collected and analysed for trends and the information used to identify opportunities for improvements. </w:t>
      </w:r>
    </w:p>
    <w:p w:rsidRPr="00A4268A">
      <w:pPr>
        <w:spacing w:before="240" w:line="276" w:lineRule="auto"/>
        <w:rPr>
          <w:rFonts w:eastAsia="Calibri"/>
        </w:rPr>
      </w:pPr>
      <w:r w:rsidRPr="00A4268A">
        <w:rPr>
          <w:rFonts w:eastAsia="Calibri"/>
        </w:rPr>
        <w:t xml:space="preserve">The infection control coordinator has completed annual training through an external provider in addition to ongoing COVID education provided by the local DHB. There have been no outbreaks since the previous audit. </w:t>
      </w:r>
    </w:p>
    <w:p w:rsidRPr="00A4268A">
      <w:pPr>
        <w:spacing w:before="240" w:line="276" w:lineRule="auto"/>
        <w:rPr>
          <w:rFonts w:eastAsia="Calibri"/>
        </w:rPr>
      </w:pPr>
      <w:r w:rsidRPr="00A4268A">
        <w:rPr>
          <w:rFonts w:eastAsia="Calibri"/>
        </w:rPr>
        <w:t xml:space="preserve">Appropriate Covid-19 precautions are in place and appropriate for each alert level setting.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280"/>
        <w:gridCol w:w="90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is available in the information presented to residents and their families during entry to the service in language that they speak (Cantonese or Mandarin). The Code is also available in a written format in the Cantonese and Mandarin language. </w:t>
            </w:r>
          </w:p>
          <w:p w:rsidR="00EB7645" w:rsidRPr="00BE00C7" w:rsidP="00BE00C7">
            <w:pPr>
              <w:pStyle w:val="OutcomeDescription"/>
              <w:spacing w:before="120" w:after="120"/>
              <w:rPr>
                <w:rFonts w:cs="Arial"/>
                <w:b w:val="0"/>
                <w:lang w:eastAsia="en-NZ"/>
              </w:rPr>
            </w:pPr>
            <w:r w:rsidRPr="00BE00C7">
              <w:rPr>
                <w:rFonts w:cs="Arial"/>
                <w:b w:val="0"/>
                <w:lang w:eastAsia="en-NZ"/>
              </w:rPr>
              <w:t>The following managers and staff were interviewed: the director/manager, assistant manager, registered nurse (RN), two caregivers, one cook, one activities staff, one maintenance. All could describe how the Code is incorporated into their job role and responsibilities. Staff receive training on the Code during their induction to the service. This training continues via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five files reviewed, residents had general consent forms signed on file. These are available in English and Chinese (link CI 1.1.8.). For those residents without capacity, the enduring power of attorney (EPOA)/welfare guardian had signed the consent form to acknowledge the same. Care staff were knowledgeable around informed consent. Residents and relatives interviewed could describe what informed consent was and knew they had the right to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advance directive policy. 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established with local community groups. Residents who are able are supported to come and go from the facility as they please. Family were seen to come and go from the service during audit days. Residents interviewed stated that they would go out with family (e.g. to church or to activities in the community) as covid restrictions allow.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is located at the entrance to the facility. In addition to English, they have been translated to the Chinese language.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received is maintained by the assistant manager. There were 12 complaints lodged in 2021 and no complaints lodged in 2022 (year-to-date). All 12 complaints reviewed were for low level concerns (e.g. the rice was too hard one night, another resident watching television too loudly, a resident had taken fruit from the garden and it was too hard). Three complaints were reviewed to ensure that processes were being implemented as per policy. Complaints are being managed in accordance with HDC guidelines. All three complaints lodged were successfully dealt with and resolved. Staff are kept informed, as evidenced in the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families/whānau confirmed that they are provided with information on the complaints process and remarked that any concerns or issues they had were addressed promptly. The resident survey results (2021) identified that residents and family had received sufficient information around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and the HDC advocacy service are included in the resident information that is provided to new residents and their families. The facility manager or clinical leader discuss aspects of the Code with residents and their family on admission. Discussions relating to the Code are also held during the residents’ meetings. Resident meetings are typically held monthly but have been less frequent due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three residents and six family confirmed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The caregivers interviewed reported that they knock on bedroom doors prior to entering rooms, ensure doors are shut when cares are being given and do not hold personal discussions in public areas. Three rooms are utilised as double rooms with privacy curtains installed.</w:t>
            </w:r>
          </w:p>
          <w:p w:rsidR="00EB7645" w:rsidRPr="00BE00C7" w:rsidP="00BE00C7">
            <w:pPr>
              <w:pStyle w:val="OutcomeDescription"/>
              <w:spacing w:before="120" w:after="120"/>
              <w:rPr>
                <w:rFonts w:cs="Arial"/>
                <w:b w:val="0"/>
                <w:lang w:eastAsia="en-NZ"/>
              </w:rPr>
            </w:pPr>
            <w:r w:rsidRPr="00BE00C7">
              <w:rPr>
                <w:rFonts w:cs="Arial"/>
                <w:b w:val="0"/>
                <w:lang w:eastAsia="en-NZ"/>
              </w:rPr>
              <w:t>Caregivers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regular education and training on abuse and neglect, which begins during their induction to the service. The general practitioner (GP) and staff interviewed stated that there was never any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The Treaty of Waitangi document is displayed at the entrance to the facility. The service is uniquely Chinese (by Chinese and for Chinese) and would not expect to admit a resident who identifies as Māori. The policies and procedures however are in place should there be a need to welcome Māori residents, family, or visitors onto the site or to the service. The assistant manager stated that they would support any resident with respect, include family etc and this would apply to a Māori resident should they enter the service. The care staff interviewed value and encouraged active participation and input from the family in the day-to-day care of the residents. This same principle would be applied to any resident of another ethnicity or culture including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specific cultural needs for Māori would be identified in the initial cultural assessment. There are no residents who identify as Māori in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One hundred percent of the residents identify as Chinese. The staff demonstrated through interviews and observations that they are committed to ensuring each resident remains a person, even in a state of decline. All staff speak Mandarin and/or Cantonese with some speaking English as well. A wide selection of documents are translated to Chinese.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Beliefs and values are incorporated into the residents’ care plans, evidenced in all five care plans reviewed. Residents and family/whānau interviewed confirmed they were involved in developing the resident’s plan of care, which included the identification of individual values and beliefs. The care staff reported that they are able to communicate with the residents using non-verbal communication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caregivers’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and/or assistant manager is on site seven days a week (including visits over the weekends) and they are supported by a registered nurse and consultant (registered nurse) when required.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reported that they are satisfied or very satisfied with the services received. This was also confirmed in the 2021 resident/family satisfaction survey (sample of 17 respondents or an occupancy of 21 at the time of the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allows for close relationships between the staff and residents. One continuous improvement has been awarded around translating documents to the Chinese language and for the uniquely Chinese environment that allows Chinese to be surrounded by their own culture (link 1.1.6.2).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 and in a way that they can understand.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Staff and family are used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level of care for up to 27 residents. There were 23 residents on the day of audit, all were under the age-related residential care (ARRC) contract. There are three double rooms. One is occupied by a couple and both of the other rooms have single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These focus on the residents retaining as much independence as possible. An annual business plan (2021) was implemented with evidence of goals being reviewed. A 2022 business plan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owned by the directors with the managing director having a role in operational management and leadership. The role of assistant manager has been in place since 2018. The assistant manager is on site five to six days a week, and available on call. The organisation is a member of the Care Association New Zealand (CANZ) and the assistant manager attends CANZ meetings regularly in order to maintain educational opportunities and remain up to date with trends in the aged care sector. The assistant manager also attends meetings with a district health board (DHB) representative for managers of Chinese aged care facilities. The assistant manager has exceeded the required eight hours training this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and managing director are supported by a registered nurse who provides 10-20 hours on site per week and is available on call.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manager is responsible for operational management in the absence of the assistant manager. The consultant (registered nurse) has previously been the registered nurse in the service, prior to the current registered nurse beginning in the role in December 2021, retains an interest in the service and will provide cover for the registered nurse if they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established, implemented, and currently being updated for 2022. Policies and procedures align with current good practice. Policies have been reviewed, modified (where appropriate) by an external consultant and implemented. Reviews take place a minimum of two yearly or when changes occur (if sooner). New policies are discussed with staff as a regular agenda item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collected for a range of adverse event data (e.g. skin tears, falls [witnessed and unwitnessed], infections) is analysed. An internal audit programme is being implemented. Corrective actions developed for areas identified for improvements (e.g., complaints management, manual handling, infection control) indicate that these corrective actions have been successfully resolved. There is a monthly staff meeting that includes all aspects of the quality and risk management programme. The meetings have mostly been held monthly noting that during the 2021 periods of lockdown for the Covid 19 pandemic, they were not held. Two meetings have been held in 2022 to date. Staff either read the meeting minutes or attend depending on their roster.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satisfaction survey in 2021 included responses from 17 of the 21 residents. The survey is written in Cantonese/Mandarin so that all can understand and respond. There was very positive feedback from all respondents with all highly satisfied with care, and other aspects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is the health and safety officer. Staff health and safety training begins during their induction to the service. Health and safety is a regular topic covered in the staff meetings. Actual and potential risks are documented on a hazard register, which identifies risk ratings and documents actions to eliminate or minimise each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regular toileting,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Ten accident/incident forms were reviewed including one witnessed fall where the resident had hit their head and five unwitnessed falls. Each event involving a resident reflected a clinical assessment and follow-up by an RN, however, neurological observations are not conducted as per policy for suspected head injuries and unwitnessed falls. The service has a low rate of falls (thirteen in 2021 and zero year to date for 2022).</w:t>
            </w:r>
          </w:p>
          <w:p w:rsidR="00EB7645" w:rsidRPr="00BE00C7" w:rsidP="00BE00C7">
            <w:pPr>
              <w:pStyle w:val="OutcomeDescription"/>
              <w:spacing w:before="120" w:after="120"/>
              <w:rPr>
                <w:rFonts w:cs="Arial"/>
                <w:b w:val="0"/>
                <w:lang w:eastAsia="en-NZ"/>
              </w:rPr>
            </w:pPr>
            <w:r w:rsidRPr="00BE00C7">
              <w:rPr>
                <w:rFonts w:cs="Arial"/>
                <w:b w:val="0"/>
                <w:lang w:eastAsia="en-NZ"/>
              </w:rPr>
              <w:t>The managing director and assistant manager are aware of statutory responsibilities in regard to essential notification. No Section 31 reports have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were randomly selected for review (three caregivers, the registered nurse and assistant manager), and all included evidence of the recruitment and induction process, including reference checking, signed employment contracts, job descriptions, and completed orientation programmes. The orientation programme provides new staff with relevant information for safe work practice that is specific to the position.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provided for staff with all staff attending. Competencies are completed specific to worker type and include medication, fire evacuation, resident cares, and handwashing. A register of current practising certificates for health professionals is maintained. The registered nurse and consultant (registered nurse) have completed their interRAI training. The registered nurse works in primary health as well and attends training offered through the practice. Both nurses attend training offered by the DHB with a record of training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first aid trained staff is always available 24/7, including on outings. One caregiver has completed level four (NZQA), and another has completed level three certificate. One caregiver is in training to complete level four and another enrolled in level three.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and rationale is documented and implemented. The assistant manager is on site most days of the week and on call. The registered nurse is on site 10 to 20 hours a week and on-call at all times. The registered nurse is also able to work extra hours if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rosters sampled confirmed that there are two caregivers on the morning (7am-3pm) and afternoon (3pm-11pm) shifts and one overnight (11pm-7am). Staff always come a little earlier or stay a little later to ensure that there is a formal handover at each shift. Additional staff are on call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and families interviewed confirmed staffing was adequate to meet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paper-based and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timed,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are available in both English and Chinese and contain all detail required under the Aged Residential Care Agreement. The five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liked having the choice of the admission agreement in their preferred language and have received sufficient information prior to and on entry to the service. Family members reported that the director/manager or assistant manager were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registered nurse interviewed could accurately describe the appropriate information required for transfer to hospital and on discharge from hospital back to the facility.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system and medications are packed in a robotic pack system. Medications are supplied monthly, checked on arrival and any pharmacy errors recorded and fed back to the supplying pharmacy. RNs and medication competent caregivers administer medications. Staff have up to date medication competencies and there has been medication education in the last year. Syringe driver training is available through the local hospice should the service require it. The medication fridge and room temperature are checked daily and are within acceptable limits.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Ten medication charts were reviewed. Medications are reviewed at least three-monthly by the GP. There was photo identification and allergy status recorded. ‘As required’ medications had indications for use charted, and the effectiveness, once administered, was documented electronically and in the progress notes. Controlled medications are double signed for upon administration, however, weekly stocktakes were not taking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cooked on site. The kitchen was observed to be clean and well organised and a current approved food control plan expiring 7 August 2022 was in evidence. Special equipment such as lipped plates is available. On the day of audit, meals were observed to be well presented. There is a kitchen manual and a range of policies and procedures to safely manage the kitchen and meal services. All staff have completed food safety training. Audits are implemented to monitor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These are all within the accepted ranges. Food temperatures are checked at all meals. These are all within safe limits. Meals are prepared in a kitchen adjacent to the dining room for serving, with residents having the choice to eat in their own rooms if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The cook interviewed was knowledgeable around the resident’s preferences and nutritional requirements. Special diets, likes and dislikes are noted on a kitchen whiteboard. There is a four-weekly rotating seasonal Chinese menu which was last reviewed by a dietitian in 2017. All residents/families interviewed were happy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are evident in printed format in all resident files. 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physiotherapist, podiatrist,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and this was in evidence in the resident files sampled on the day of audit. In the residents’ files reviewed, short-term care plans have been commenced with a change in heath condition and linked to the long-term care plan.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Resident files include a urinary continence assessment, bowel management and the continence products that are required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current wounds on the day of audit, however wound assessment, wound management, and evaluation forms were sighted for two skin tears that had healed in the three months preceding the audit. Wound monitoring had occurred as planned and there were also photos to show wound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however neurological observations were not completed as per policy (link 1.2.4.3).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(interviewed), covering five days per week who plans and leads all activities and has a current first aid certificate. Activities are also planned and set up for the weekends and overseen by the care staff on duty. On the days of audit residents were observed participating in activities delivered in both Mandarin and Cantonese languages.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in large print (English and Chinese versions) on the facility noticeboards. Residents have the choice of a variety of activities which are varied according to resident preference and need. These include (but are not limited to) exercises, walks outside, crafts, games, quizzes, entertainers, singing, mah jong and tai chi.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outings to shops and local areas of interest, with the service utilising its own minibus. Residents not on the outing have access to self-directed activities (usually mah jong).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like birthdays, Easter, Christmas, and Chinese New Year are celebrated. There are visiting community groups such as choirs and children’s groups, and regular entertainers visiting the facility (subject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which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resident care plans reviewed had been evaluated in writing by the registered nurses six-monthly or earlier if there was a change in health status. Activities plans are in place for each of the residents and these are also evaluated or scheduled to be evaluated six-monthly. There are three-monthly reviews by the GP for all residents which family are able to attend if they wish to do so. Evaluation includes documenting progress towards the achievement of the intended goals. The multidisciplinary review involves the RN, GP, activities staff and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registered nurse interviewed could give examples of where a resident’s condition might change, and the resident would need to be reassessed for a higher or different level of care. The assistant manager and RN (interviewed) described the referral process should they require assistance from the mental health services, wound specialist, continence nurse, dietitian, speech language therapist, diabetes nurse or other allied health or nursing specialists.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Staff have been provided with chemical safety training by the external supplier.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August 2022. The service has a part-time maintenance person (interviewed) who works two days per week and provides an on-call/as required service outside these hours.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have been monitored in resident areas and are within the acceptable range. Electrical equipment belonging to the service and resident goods had not been tested and tagged. Flooring is safe and appropriate for residential care. All corridors have safety rails and promote safe mobility with the use of mobility aids. Residents were observed moving freely around the areas with mobility aids where required. The external areas, decked areas and gardens are well maintained. All outdoor areas have attractive features, including raised flower and vegetable beds which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hand basins and share communal toilets and showers, of which there are a sufficient number. Handrails are appropriately placed in communal showers and toilets which have a system that indicates if it is engaged or vacant. A visitor’s toilet is centrally located. 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apart from three which can be occupied by two residents (these are used for couples or single occupancy).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These include sufficient lounges and private/quiet seating areas where residents who prefer quieter activities or visitors may sit. The main lounge/dining area is open, homely, and inviting. It is appropriate for the needs of the residents with easy access to all indoor and outdoor areas for residents using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by the care staff. The laundry is situated in an external covered courtyard. Chemicals are stored separately in a locked cupboard within the building until required for use by staff. There are clearly defined clean and dirty areas and a cleaning policy manual is available. Cleaning and laundry services are monitored through the internal auditing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cleaner. The cleaners’ equipment was attended at all times or locked away in the cleaners’ cupboard. All chemicals on the cleaner’s trolley were labelled. Residents and families expressed their satisfaction with the standard of cleaning and laundry.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2 December 2021. There is a New Zealand Fire Service approved evacuation scheme dating from 2013, however this had not been updated in line with the shortfall identified at the previous certification audit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Battery back-up for emergency lighting and call bells in case of power outage is in place. A gas cooker is available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providing an audible and visual alert to staff.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at least one staff member on shift with a current first aid/CPR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and thermostatically controlled. Staff and residents interviewed, stated that this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Windsor Aged Care has an established infection control (IC) programme that is being implemented. The infection control programme is appropriate for the size, complexity and degree of risk associated with the service and has been linked into the incident reporting system. The assistant manager fulfils the role infection control coordinator (ICC) and has done for the past two years with support and oversight from the registered nurse and nurse consultant. Responsibility for infection control is described in the job description which was evidenced on the day of audit and the ICC has completed formal training in infection control. The infection control programme is linked into the quality management programme.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The majority of residents and all staff working in care have received both doses and a booster of the Pfizer Covid-19 vaccine. Residents and staff are offered the influenza vaccine. Covid-19 scanning/manual sign in is mandatory on entry to the facility and the use of face masks is required as part of Covid-19 red traffic light level restrictions. Covid-19 education has been provided for all staff, including hand hygiene and use of personal protective equipment (PPE).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Covid/Pandemic plan in place and appropriate amounts of PPE on hand.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attended external training in infection control. There is access to infection control expertise within the DHB, wound nurse specialist, public health, laboratory, and the external consultant. The GP and laboratory monitor the use of antibiotics. The ICC also liaises and meets regularly with the director/manager, registered nurse, and nurse consultant. Overall effectiveness of the programme is monitored by the management team with external consultant oversight.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external consultant who is well known and respected in the industry. Policies include information and a response framework on Covid 19 preparedness including cleaning and laundry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coordinating education and ensuring staff attend the training available. Training on infection control is included in the orientation programme. Staff have attended infection control in-services in the last 12 months. The infection control coordinator has also completed infection control audits. Resident education occurs as part of providing daily cares and as applicable at resident meetings. Staff have completed competencies for handwashing and the correct use of PPE. They also have regular updates and scheduled training related to the facility`s Covid19 preparedness.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director/manager and at staff meetings. Meeting minutes are available to staff. Trends are identified and analysed, and preventative measures put in place. Systems in place are appropriate to the size and complexity of the facility.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The philosophy of the service is to not use restraint. There were no restraints used in the service. No enablers were required to be used at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and management of challenging behaviour. This had been provided in 2021. The caregivers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8"/>
        <w:gridCol w:w="1280"/>
        <w:gridCol w:w="7880"/>
        <w:gridCol w:w="1370"/>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taking of neurological observations if a resident has an unwitnessed fall or if the resident hits their head. Staff use a modified form that does not include the full suite of neurological observations as predominantly only caregivers are on site. While this is appropriate, the forms reviewed when a resident had an unwitnessed fall or when a resident had hit their head was not completed fully as per the policy. Staff have had education around management of falls presented in English and Mandarin/Cantonese which included reference to neurological observations.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not completed as per policy for suspected head injuries and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completed as per policy for suspected head injuries and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detailed medication management policies in place. Controlled medications are double signed for upon administration, however, weekly stocktakes were not taking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stock checks of controlled medications had not occurred in the last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weekly stock checks of controlled medications are undertaken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food control plan and policies in place; however, the resident menu had not been reviewed by a registered dietitian on a regular basis.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menu had not been reviewed by a registered dietitian since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resident menu is reviewed by a registered dietitian every two years.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preventative and reactive maintenance schedule in place, however electrical items had not tested for safety once 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Facility owned and resident electrical goods had not been tested for safety (test and tag).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electrical items are tested for safety and comply with current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approved fire evacuation scheme dating from 2013, however in 2020 the provider had chosen to convert the laundry into a double bedroom for a couple who required rest home level care. The laundry room, (now situated externally) was originally one of the emergency exits and was still identified as an emergency exit on the approved evacuation scheme plans displayed throughout the building. This emergency exit was blocked off by the provider when they converted the room into a bedroom, thus reducing the number of emergency exits from four to three. Due to communication issues and the ambiguity of phrasing used in the previous report, this issue identified at the 2020 certification audit had not been resolved nor the fire evacuation scheme updated. During this audit the room was seen to be converted back into a fire escape with appropriate signage; to remain so until sign off from the Fire Service had been obtained. An online application to the New Zealand Fire Service to approve a new evacuation scheme was in process while auditors were on site.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has not been updated or approved by New Zealand Fire Service following the conversion of the laundry to a bedroom.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Obtain an approved evacuation scheme from the New Zealand Fire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2"/>
        <w:gridCol w:w="1280"/>
        <w:gridCol w:w="3528"/>
        <w:gridCol w:w="69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and residents all identify as Chinese. All speak Cantonese or Mandarin with varying degrees of proficiency in English. The dietitian, registered nurse and one of the doctors at the medical practice used by the service identify as Chinese. The service provides a Chinese service for Chinese and by Chinese.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hundred percent (100%) of the residents are Chinese and all staff are Chinese. The majority of these residents and their families either do not speak/read English or it is their second language. Families have been asked to respond to this initiative and have stated that the translated forms are much easier to understand.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and key documents for residents and family have been documented in Mandarin/Cantonese and English. These included the admission agreement, consent forms, Flu vaccination form. Residents and families who speak Chinese as their first language are offered both the English version and the Chinese version of documents. They are able to take these forms home to read and then return to discuss with either of the managers (vs only getting the detail verbally via the assistant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families, and staff/managers use Chinese social media platform for text and face to face video communication. This included messaging from the management team around Covid-19 and changes in levels, updates around their family member with the ability to communicate to family in China as well as those located in New Zealand. This has been translated to Chinese for those residents and families whose primary language is Chinese. Residents and family interviewed confirmed that this initiative had meant that they had a good understanding of the service and were able to make informed decisions. </w:t>
            </w:r>
          </w:p>
          <w:p w:rsidR="00EB7645" w:rsidRPr="00BE00C7" w:rsidP="00BE00C7">
            <w:pPr>
              <w:pStyle w:val="OutcomeDescription"/>
              <w:spacing w:before="120" w:after="120"/>
              <w:rPr>
                <w:rFonts w:cs="Arial"/>
                <w:b w:val="0"/>
                <w:lang w:eastAsia="en-NZ"/>
              </w:rPr>
            </w:pPr>
            <w:r w:rsidRPr="00BE00C7">
              <w:rPr>
                <w:rFonts w:cs="Arial"/>
                <w:b w:val="0"/>
                <w:lang w:eastAsia="en-NZ"/>
              </w:rPr>
              <w:t>Documents including questionnaires and competencies related to staff training have also been interpreted into Mandarin/Cantonese and English. Staff who only speak Mandarin or Cantonese stated that this has significantly helped them to learn and develop skills.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New Windsor 2017 Limited - New Windsor Aged Care</w:t>
    </w:r>
    <w:bookmarkEnd w:id="58"/>
    <w:r>
      <w:rPr>
        <w:rFonts w:cs="Arial"/>
        <w:sz w:val="16"/>
        <w:szCs w:val="20"/>
      </w:rPr>
      <w:tab/>
      <w:t xml:space="preserve">Date of Audit: </w:t>
    </w:r>
    <w:bookmarkStart w:id="59" w:name="AuditStartDate1"/>
    <w:r>
      <w:rPr>
        <w:rFonts w:cs="Arial"/>
        <w:sz w:val="16"/>
        <w:szCs w:val="20"/>
      </w:rPr>
      <w:t>14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