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Parkstone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Parkstone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January 2022</w:t>
      </w:r>
      <w:bookmarkEnd w:id="7"/>
      <w:r w:rsidRPr="009418D4">
        <w:rPr>
          <w:rFonts w:cs="Arial"/>
        </w:rPr>
        <w:tab/>
        <w:t xml:space="preserve">End date: </w:t>
      </w:r>
      <w:bookmarkStart w:id="8" w:name="AuditEndDate"/>
      <w:r w:rsidR="00A4268A">
        <w:rPr>
          <w:rFonts w:cs="Arial"/>
        </w:rPr>
        <w:t>14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Parkstone is part of the Bupa group.  The service is certified to provide rest home, hospital (geriatric and medical) and residential disability – physical level care for up to 102 residents.  On the days of audit there were 88 residents.</w:t>
      </w:r>
    </w:p>
    <w:p w:rsidRPr="00A4268A">
      <w:pPr>
        <w:spacing w:before="240" w:line="276" w:lineRule="auto"/>
        <w:rPr>
          <w:rFonts w:eastAsia="Calibri"/>
        </w:rPr>
      </w:pPr>
      <w:r w:rsidRPr="00A4268A">
        <w:rPr>
          <w:rFonts w:eastAsia="Calibri"/>
        </w:rPr>
        <w:t>This unannounced surveillance audit was conducted against a subset of the Health and Disability Services Standards and the contract with the district health board.  The audit process included the review of policies and procedures, the review of residents and staff files, observations, and interviews with residents, a relative, management, staff, and general practitioner.</w:t>
      </w:r>
    </w:p>
    <w:p w:rsidRPr="00A4268A">
      <w:pPr>
        <w:spacing w:before="240" w:line="276" w:lineRule="auto"/>
        <w:rPr>
          <w:rFonts w:eastAsia="Calibri"/>
        </w:rPr>
      </w:pPr>
      <w:r w:rsidRPr="00A4268A">
        <w:rPr>
          <w:rFonts w:eastAsia="Calibri"/>
        </w:rPr>
        <w:t xml:space="preserve">The care home manager and clinical manager have been in their roles for three years.  The managers are supported by the operations manager and regional quality partner.  </w:t>
      </w:r>
    </w:p>
    <w:p w:rsidRPr="00A4268A">
      <w:pPr>
        <w:spacing w:before="240" w:line="276" w:lineRule="auto"/>
        <w:rPr>
          <w:rFonts w:eastAsia="Calibri"/>
        </w:rPr>
      </w:pPr>
      <w:r w:rsidRPr="00A4268A">
        <w:rPr>
          <w:rFonts w:eastAsia="Calibri"/>
        </w:rPr>
        <w:t xml:space="preserve">An annual quality plan has been implemented and reviewed for 2021, the 2022 plan is in draft form.  The service implements the robust organisational quality programme.  </w:t>
      </w:r>
    </w:p>
    <w:p w:rsidRPr="00A4268A">
      <w:pPr>
        <w:spacing w:before="240" w:line="276" w:lineRule="auto"/>
        <w:rPr>
          <w:rFonts w:eastAsia="Calibri"/>
        </w:rPr>
      </w:pPr>
      <w:r w:rsidRPr="00A4268A">
        <w:rPr>
          <w:rFonts w:eastAsia="Calibri"/>
        </w:rPr>
        <w:t>The service has addressed two of the previous shortfalls around wound charts and footplates on wheelchairs.  Further improvements are required around care plan interventions.</w:t>
      </w:r>
    </w:p>
    <w:p w:rsidRPr="00A4268A">
      <w:pPr>
        <w:spacing w:before="240" w:line="276" w:lineRule="auto"/>
        <w:rPr>
          <w:rFonts w:eastAsia="Calibri"/>
        </w:rPr>
      </w:pPr>
      <w:r w:rsidRPr="00A4268A">
        <w:rPr>
          <w:rFonts w:eastAsia="Calibri"/>
        </w:rPr>
        <w:t xml:space="preserve">This audit has identified shortfalls around care plan evaluations, medications, and the building warrant of fitness.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Relatives are regularly updated of residents’ condition including any acute changes or incidents.  Complaints processes are implemented and managed in line with the Health and Disability Commissioner’s (HDC) Code of Health and Disability Services Consumers’ Rights (the Code).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There is a strategic plan and annual quality, risk management plans are in place.  Plans define the scope, direction, and objectives of the service as well as the monitoring and reporting processes.  The care home manager and the clinical manager provide leadership, both are registered nurses with a current practising certificate.  The human resource management system is documented in policy with recruitment processes, orientation, and annual appraisals completed as per policy.  There is an annual training plan that has been completed for 2021 and has been documented for 2022.</w:t>
      </w:r>
    </w:p>
    <w:p w:rsidRPr="00A4268A">
      <w:pPr>
        <w:spacing w:before="240" w:line="276" w:lineRule="auto"/>
        <w:rPr>
          <w:rFonts w:eastAsia="Calibri"/>
        </w:rPr>
      </w:pPr>
      <w:r w:rsidRPr="00A4268A">
        <w:rPr>
          <w:rFonts w:eastAsia="Calibri"/>
        </w:rPr>
        <w:t xml:space="preserve">There is a clearly documented rationale for determining staff levels and staff mix to provide safe service delivery for rest home and hospital level care residents.  An appropriate number of skilled and experienced staff are allocated to each shift.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are responsible for each stage of service provision.  A registered nurse completes initial assessments, risk assessments, interRAI assessments and long-term care plans within the required timeframes.  Care plans are evaluated at least six monthly or earlier if required with input from the resident’s family as appropriate.  There is a review by the general practitioner at least every three months.</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administration of medicines and complete annual education and medication competencies.  The medicine charts reviewed met prescribing requirements and were reviewed at least three-monthly.     </w:t>
      </w:r>
    </w:p>
    <w:p w:rsidRPr="00A4268A" w:rsidP="00621629">
      <w:pPr>
        <w:spacing w:before="240" w:line="276" w:lineRule="auto"/>
        <w:rPr>
          <w:rFonts w:eastAsia="Calibri"/>
        </w:rPr>
      </w:pPr>
      <w:r w:rsidRPr="00A4268A">
        <w:rPr>
          <w:rFonts w:eastAsia="Calibri"/>
        </w:rPr>
        <w:t xml:space="preserve">A diversional therapist oversees the activity team and coordinates the activity programme for the rest home and hospital.  An occupational therapist is involved in the activity programme.  The programme includes community visitors and outings, entertainment and activities that meet the individual and group preferences and abilities for each resident group.  Residents and the family member interviewed reported satisfaction with the activities programme.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r w:rsidRPr="00A4268A">
        <w:rPr>
          <w:rFonts w:eastAsia="Calibri"/>
        </w:rPr>
        <w:t>Residents' food preferences and dietary requirements are identified at admission and accommodated.  All meals and baking are cooked on site.  This includes consideration of any particular dietary preferences or needs.  There is a four-week rotational menu that is reviewed by a dietitian.  Nutritional snacks are available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Ongoing maintenance issues are addressed.  Chemicals are stored safely throughout the facility.  Cleaning and maintenance staff are providing appropriate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and have been updated to reflect the 2021 Nga Paerewa Health and Disability standard.  Policy is aimed at using restraint only as a last resort with the focus being on maintaining a restraint free environment.  Staff receive regular education and training on restraint minimisation and around management of challenging behaviour.  During the audit there were five residents using restraints (previously one resident using restraint and four enablers). </w:t>
      </w:r>
    </w:p>
    <w:p w:rsidRPr="00A4268A">
      <w:pPr>
        <w:spacing w:before="240" w:line="276" w:lineRule="auto"/>
        <w:rPr>
          <w:rFonts w:eastAsia="Calibri"/>
        </w:rPr>
      </w:pPr>
      <w:r w:rsidRPr="00A4268A">
        <w:rPr>
          <w:rFonts w:eastAsia="Calibri"/>
        </w:rPr>
        <w:t xml:space="preserve">There is a restraint policy that includes comprehensive restraint procedures.  The clinical manager (RN) is the restraint coordinator.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(registered nurse) is responsible for coordinating/providing education and training for staff.  </w:t>
      </w:r>
    </w:p>
    <w:p w:rsidRPr="00A4268A">
      <w:pPr>
        <w:spacing w:before="240" w:line="276" w:lineRule="auto"/>
        <w:rPr>
          <w:rFonts w:eastAsia="Calibri"/>
        </w:rPr>
      </w:pPr>
      <w:r w:rsidRPr="00A4268A">
        <w:rPr>
          <w:rFonts w:eastAsia="Calibri"/>
        </w:rPr>
        <w:t xml:space="preserve">The infection control programme and its content and detail are appropriate for the size, complexity and degree of risk associated with the service.   The infection control coordinator (RN) uses the information obtained through surveillance to determine infection control activities, resources and education needs within the facility.  Infection incidents are collected and analysed for trends and the information used to identify opportunities for improvements.  The service benchmarks with other Bupa facilities.  There have been two outbreaks since the previous audit, both were well managed, documented and reported accordingly.  Covid preparedness includes screening of all visitors and contractors, contact tracing and evidence of vaccine status.  Adequate supplies of personal protective equipment were sighted during the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29"/>
        <w:gridCol w:w="1280"/>
        <w:gridCol w:w="104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care home manager continues to maintain a record of all complaints, both verbal and written, by using an electronic complaint register.  Documentation including follow-up letters and resolution, demonstrates that complaints are being managed in accordance with guidelines set by the Health and Disability Commissioner.  There have been three complaints logged since the previous audit (all 2021), with no complaints yet for 2022.  All were appropriately managed, documented, investigated, and resolved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one rest home and five hospital level residents (including one younger person) confirmed they were provided with information on complaints and complaints forms.  Complaints forms are in a visible location at the entrance to the facility.  The relative commented that the manager was very helpful and worked with the families to manage issues raised.  The care home manager and clinical manager were knowledgeable around the complaint process.  All staff interviewed (ten caregivers, one unit coordinator, four registered nurses (RN), one maintenance person, one cook, and one diversional therapist) could describe management of complaints in relation to their role and would direct complainants to the most senior person in charge.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communication is recorded on the family/whānau communication record, which is held in each resident’s file.  Electronic accident/incident forms have a section to indicate if next of kin have been informed (or not) of an accident/incident.  Ten accident/incident forms identified family are kept informed.  One rest home level family member interviewed, stated that they are kept informed when their family member’s health status changes and in times of Covid lockdown periods.  The general practitioner (GP) stated that the service is proactive with keeping family involved.  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Parkstone is part of the Bupa group of aged care facilities.  The care facility has a total of 102 beds including three rooms which have been certified as double rooms.  On the days of the audit, one had single occupancy and two were occupied with married couples.  All rooms are suitable for rest home and hospital levels of care and communities designed to support younger people with disabilities.  The service is certified for rest home, hospital (geriatric and medical) and residential disability level care (Physical).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88 residents in total: 33 rest home residents including two younger persons with a disability (YPD), and one resident on a long-term support - chronic health contract (LTS-CHC).  There were 55 hospital level residents including eight YPD, three funded through ACC including one respite resident, one funded through serious medical injury (SMI), and one resident on an end-of-life contract (EOL).  </w:t>
            </w:r>
          </w:p>
          <w:p w:rsidR="00EB7645" w:rsidRPr="00BE00C7" w:rsidP="00BE00C7">
            <w:pPr>
              <w:pStyle w:val="OutcomeDescription"/>
              <w:spacing w:before="120" w:after="120"/>
              <w:rPr>
                <w:rFonts w:cs="Arial"/>
                <w:b w:val="0"/>
                <w:lang w:eastAsia="en-NZ"/>
              </w:rPr>
            </w:pPr>
            <w:r w:rsidRPr="00BE00C7">
              <w:rPr>
                <w:rFonts w:cs="Arial"/>
                <w:b w:val="0"/>
                <w:lang w:eastAsia="en-NZ"/>
              </w:rPr>
              <w:t>Bupa's overall vision and values are displayed in a visible location.  The Bupa care model is resident centred.  All staff are made aware of the vision and values during their induction to the service.  There is an organisational Bupa business plan and risk management plan.  There are documented quality/health and safety goals that are reviewed three monthly and signed off when achieved.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is a registered nurse (RN) who was previously the clinical manager and has worked for Bupa for a total of 15 years.  She has been in the care home manager’s role for three years.  She is supported by an experienced clinical manager/RN and one unit coordinator who is a registered nurse.  The service has just recruited another unit coordinator to fill a vacancy.  They are supported by the regional operations manager and the team at Bupa head office.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maintained over eight hours annually of professional development activities related to managing an aged care service.  Managers and clinical managers attend annual organisational forums and regional forums six-monthly.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reported a high staff turnover, especially with registered nurses (RNs) with around 40% to 50% RN turnover in the last year.  The service has gone from 17 RNs to ten and are currently recruiting.  There are four RNs due to start in the near future.  Overall, the service has had 9.9% total staff turnover in the last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implemented to provide assurance that the service is meeting accepted good practice and adhering to relevant standards - including those standards relating to the Health and Disability Services (Safety) Act 2001.  A quality and risk management programme is documented.  A quality plan is documented annually with documentation reviewed confirming that a review of the 2021 plan has been completed.  Quality initiatives for 2021 included reducing pressure injuries by 10%, following review of the data, the service has reduced pressure injuries by 13% in 2021.  The 2022 quality plan was in draft form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Facility meetings held also include (but are not limited to): three monthly quality, health and safety, infection control, restraint, staff, clinical review meetings and RN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Three-monthly quality meeting minutes sighted evidenced staff discussion around progress towards quality goals, health and safety, infection control, complaints and concerns and survey feedback.  The service collates accident/incident and infection control data using the Bupa quality database.  Monthly comparisons include detailed trend analysis and graphs.  There is a documented internal audit programme that covers all aspects of the service.  Corrective action plans are implemented where shortfalls have been identified.  These have been signed off once completed and discussed at meetings.  Meeting minutes reviewed evidenced discussion around all quality data collated and corrective action plans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were reviewed for 2019 and 2020 as the 2021 results are not yet available.  The results from the residents and the relatives survey evidenced overall satisfaction with the service, with an increase of satisfaction around the building, residents’ rooms, food services, and activities.  An action plan was implemented around activities, staffing and food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care home manager is overall responsible for health and safety.  The health and safety representative interviewed (maintenance) has completed external training.  The health and safety meetings are held three-monthly, where all incidents, new hazards and the hazard register are reviewed.  Health and safety education commences at orientation to the service and is included in the annual education planner.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assessments after falls and individualised strategies.  The service has detailed emergency plans covering all types of emergency situations and staff receive ongoing training around manual handling and equipment.  Staff reported they have falls prevention equipment including hospital beds, hi/low beds, sensor mats, and hoists.  Training around falls prevention and management is held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accident/incident forms were reviewed.  Each event involving a resident reflected a clinical assessment and follow-up by a registered nurse.  Neurological observations are commenced when there is an unwitnessed fall, opportunities to minimise future risks were identified where possible, wound care charts and associated short-term care plans were implemented and pain assessments were completed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are aware of their requirement to notify relevant authorities in relation to essential notifications.  There have been two section 31 notifications for pressure injuries sent in 2020, and six sent in 2021 (five pressure injuries including two non-facility acquired) and one fracture.  There have been two outbreaks since the previous audit, one in April 2021 and one in August 2021.  Both outbreaks were managed, reported, and documented appropriately.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Six staff files (one clinical manager, one registered nurse, one activities coordinator, and three caregivers) reviewed, evidenced implementation of the recruitment process, employment contracts, and completed orientation.  Annual performance appraisals are currently due.  A register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annual education planner in place that covers compulsory education requirements.  The planner and individual attendance records are updated after each session.  Nine of the twelve RNs (including the clinical manager and the unit coordinator) have completed interRAI training.  The RNs and clinical manager have completed syringe driver training and have access to external training.  Additional education is provided via toolbox talks.  The caregivers undertake Aged Care Education (Careerforce).  Currently there are two caregivers who have completed level 2, eight who have completed level 3 and eight who have completed level 4.  RNs attend six-monthly training through Bupa.  Younger person disability  training was specific to the YPD residents needs including catheters, privacy, behaviour, pain, sexuality / intimacy, person centred care and culture.  All staff interviewed were able to easily identify the YPD needs separate to needs of ARC residents, especially with activities/ outings.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staff complete competencies relevant to their role.  A competency programme is in place with different requirements according to work type (e.g., caregiver, registered nurse, and cleaner).  Core competencies are completed annually, and a record of completion is maintained (signed competency questionnaires sighted in reviewed files).  Registered nurse competencies include (but are not limited to), wound, medication administration and restraint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clinical manager shares on-call after hours with the unit coordinator and other registered nurses.  The care home manager and clinical manager are available during weekdays.  Adequate RN cover is provided 24 hours a day, seven days a week with at least two registered nurses on morning and afternoon shifts and at least one RN overnight.  When fully staffed, there are four RNs rostered morning and afternoon (two on each floor) and two (one on each floor) overnight.  While RN numbers are low, the service utilises  level 4 caregivers to administer medications with RN oversight.  </w:t>
            </w:r>
          </w:p>
          <w:p w:rsidR="00EB7645" w:rsidRPr="00BE00C7" w:rsidP="00BE00C7">
            <w:pPr>
              <w:pStyle w:val="OutcomeDescription"/>
              <w:spacing w:before="120" w:after="120"/>
              <w:rPr>
                <w:rFonts w:cs="Arial"/>
                <w:b w:val="0"/>
                <w:lang w:eastAsia="en-NZ"/>
              </w:rPr>
            </w:pPr>
            <w:r w:rsidRPr="00BE00C7">
              <w:rPr>
                <w:rFonts w:cs="Arial"/>
                <w:b w:val="0"/>
                <w:lang w:eastAsia="en-NZ"/>
              </w:rPr>
              <w:t>All beds are dual-purpose.</w:t>
            </w:r>
          </w:p>
          <w:p w:rsidR="00EB7645" w:rsidRPr="00BE00C7" w:rsidP="00BE00C7">
            <w:pPr>
              <w:pStyle w:val="OutcomeDescription"/>
              <w:spacing w:before="120" w:after="120"/>
              <w:rPr>
                <w:rFonts w:cs="Arial"/>
                <w:b w:val="0"/>
                <w:lang w:eastAsia="en-NZ"/>
              </w:rPr>
            </w:pPr>
            <w:r w:rsidRPr="00BE00C7">
              <w:rPr>
                <w:rFonts w:cs="Arial"/>
                <w:b w:val="0"/>
                <w:lang w:eastAsia="en-NZ"/>
              </w:rPr>
              <w:t>Upstairs has 43 residents (19 rest home including one YPD, 24 hospital including three YPD, one resident on an end-of-life contract).</w:t>
            </w:r>
          </w:p>
          <w:p w:rsidR="00EB7645" w:rsidRPr="00BE00C7" w:rsidP="00BE00C7">
            <w:pPr>
              <w:pStyle w:val="OutcomeDescription"/>
              <w:spacing w:before="120" w:after="120"/>
              <w:rPr>
                <w:rFonts w:cs="Arial"/>
                <w:b w:val="0"/>
                <w:lang w:eastAsia="en-NZ"/>
              </w:rPr>
            </w:pPr>
            <w:r w:rsidRPr="00BE00C7">
              <w:rPr>
                <w:rFonts w:cs="Arial"/>
                <w:b w:val="0"/>
                <w:lang w:eastAsia="en-NZ"/>
              </w:rPr>
              <w:t>There are six caregivers rostered in the morning shift: 4x 7 am to 3 pm, and 2x 8 am to 1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afternoon shift has three caregivers from 3 pm to 11 pm and two caregivers and an RN covering nightshift.  </w:t>
            </w:r>
          </w:p>
          <w:p w:rsidR="00EB7645" w:rsidRPr="00BE00C7" w:rsidP="00BE00C7">
            <w:pPr>
              <w:pStyle w:val="OutcomeDescription"/>
              <w:spacing w:before="120" w:after="120"/>
              <w:rPr>
                <w:rFonts w:cs="Arial"/>
                <w:b w:val="0"/>
                <w:lang w:eastAsia="en-NZ"/>
              </w:rPr>
            </w:pPr>
            <w:r w:rsidRPr="00BE00C7">
              <w:rPr>
                <w:rFonts w:cs="Arial"/>
                <w:b w:val="0"/>
                <w:lang w:eastAsia="en-NZ"/>
              </w:rPr>
              <w:t>Downstairs has 45 residents (15 rest home including one LTS-CHC, and one YPD, and 30 hospital including three ACC including one ACC respite, five YPD, and one SMI.</w:t>
            </w:r>
          </w:p>
          <w:p w:rsidR="00EB7645" w:rsidRPr="00BE00C7" w:rsidP="00BE00C7">
            <w:pPr>
              <w:pStyle w:val="OutcomeDescription"/>
              <w:spacing w:before="120" w:after="120"/>
              <w:rPr>
                <w:rFonts w:cs="Arial"/>
                <w:b w:val="0"/>
                <w:lang w:eastAsia="en-NZ"/>
              </w:rPr>
            </w:pPr>
            <w:r w:rsidRPr="00BE00C7">
              <w:rPr>
                <w:rFonts w:cs="Arial"/>
                <w:b w:val="0"/>
                <w:lang w:eastAsia="en-NZ"/>
              </w:rPr>
              <w:t>Morning shift has five caregivers: 4x 7 am to 3 pm and 1x 8 am to 1 pm.</w:t>
            </w:r>
          </w:p>
          <w:p w:rsidR="00EB7645" w:rsidRPr="00BE00C7" w:rsidP="00BE00C7">
            <w:pPr>
              <w:pStyle w:val="OutcomeDescription"/>
              <w:spacing w:before="120" w:after="120"/>
              <w:rPr>
                <w:rFonts w:cs="Arial"/>
                <w:b w:val="0"/>
                <w:lang w:eastAsia="en-NZ"/>
              </w:rPr>
            </w:pPr>
            <w:r w:rsidRPr="00BE00C7">
              <w:rPr>
                <w:rFonts w:cs="Arial"/>
                <w:b w:val="0"/>
                <w:lang w:eastAsia="en-NZ"/>
              </w:rPr>
              <w:t>The afternoon shift has four caregivers: 2x 3 pm to 11 pm, 1x 3 pm to 10 pm and 1x 4 pm to 10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night shift has two caregivers and one registered nurse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actively recruiting staff to fill vacancies, the rosters sighted evidenced all shifts were covered.  The residents and relative interviewed felt the service was very complimentary of the staff and provision of cares, however, they did state they felt the facility was short staffed at times and staff were rushed.  Residents felt their call bells were answered within acceptable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were reviewed.  There are policies available for safe medicine management that meet legislative requirements.  The facility utilises an electronic medication management system.  All clinical staff (RNs, and senior caregivers) who administer medications have been assessed for competency on an annual basis.  Education around safe medication administration has been provided.  Staff were observed to be safely administering medications.  Registered nurses and caregivers interviewed could describe their role regarding medication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uses robotics for regular medication and ‘as required’ medications.  All medications are checked on delivery against the medication chart and any discrepancies are fed back to the supplying pharmacy.  Medications were appropriately stored in the facilities four medication rooms.  Medication fridges  and medication rooms had daily temperature checks recorded and were within normal ranges.  Effectiveness of PRN medication administered were documented in the electronic prescription.  Not all eyedrops have been dated on opening or discarded within recommended timeframes.  There were three self-medicating residents on the day of audit, all had competencies completed and reviewed by the GP three monthly.  There is a signed agreement with the pharmacy.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Bupa Parkstone are prepared and cooked on site in a spacious and well-equipped kitchen.  There is a kitchen manager who is also a qualified chef.  There is a food control plan expiring 22 September 2022.  Kitchen staff are trained in safe food handling.  Staff were observed to be wearing correct personal protective clothing.  End-cooked and serving temperatures are taken on each meal.  Chiller and freezer temperatures are taken daily and are all within the accepted ranges.  Cleaning schedules are maintained.  All foods were date labelled in the pantry, chillers and freezers and there is an established system to ensure stock rotation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completed on admission and reviewed six monthly or sooner if indicated.  Preferences, allergies, likes and dislikes, special diets (e.g., diabetic), and modified texture requirements are accommodated in the daily meal plan.  Specialised cutlery is available and those requiring assistance are given so in a manner that maintains their dignity.  A mealtime observed during the audit showed that there was sufficient time to eat in an unhurried fashion and that the dining rooms were uncluttered with space to move between the tables.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Resident/family meetings, surveys, and one-to-one interaction with kitchen staff in the dining rooms allow the opportunity for staff/resident feedback on the meals and food services generally.  There is a four-weekly seasonal menu with dietitian review and audit of menus.  The menu is adapted to ensure resident’s food preferences are considered.  Meals are prepared in the main kitchen and sent to the four dining rooms in a temperature-controlled bain marie.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Adapted cutlery, sipper cups and lipped plates are available for resident use.  Dietary profiles are completed on admission and likes and dislikes and any changes to dietary needs are communicated to the kitchen via the RNs.  A dietitian is available on request.  Supplements and fortified foods are provided to residents with identified weight loss issues.  The cook (interviewed) was familiar with all residents’ likes and dislikes and those residents with specific dietary needs.  </w:t>
            </w:r>
          </w:p>
          <w:p w:rsidR="00EB7645" w:rsidRPr="00BE00C7" w:rsidP="00BE00C7">
            <w:pPr>
              <w:pStyle w:val="OutcomeDescription"/>
              <w:spacing w:before="120" w:after="120"/>
              <w:rPr>
                <w:rFonts w:cs="Arial"/>
                <w:b w:val="0"/>
                <w:lang w:eastAsia="en-NZ"/>
              </w:rPr>
            </w:pPr>
            <w:r w:rsidRPr="00BE00C7">
              <w:rPr>
                <w:rFonts w:cs="Arial"/>
                <w:b w:val="0"/>
                <w:lang w:eastAsia="en-NZ"/>
              </w:rPr>
              <w:t>One relative confirmed that there are always snacks, fruit and sandwiches available for residents to eat.  The relative also reported that meals are well presented, and that staff assist those residents who require help with food and fluid intake.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were documented by the registered nurse.  The files sampled indicated all residents had a long-term care plan in place.  Caregivers were knowledgeable about the individual resident care needs.  Care plans reviewed demonstrated service integration and demonstrated input from allied health.  The interRAI assessment process and a range of assessments informed the development of the residents’ care plan.  Resident care plans reviewed were not all reflective of the resident’s needs, this is an ongoing shortfall.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 member interviewed reported participation in the development and ongoing evaluation of care plans.  In all files reviewed there is evidence of relative/EPOA/welfare guardian involvement in care planning.  Care plans reviewed provided evidence of individualised support.  Short-term care plans are in use for short-term needs and changes in health status (link 1.3.8.2).  Caregivers interviewed stated that the care plans were easy to follow, and residents’ care needs changes (both long and short-term) are communicated to relevant staff through written and verbal handovers.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for a YPD resident evidenced participation in management of own wellbeing and physical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plans are completed by the RNs.  When a resident's condition alters, the RN initiates a review and if required, GP or older persons health consultation.  Residents and the family member interviewed, reported their needs were being met and are satisfied with the delivery of service.  There was documented evidence of relative contact for any changes to resident health status.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dietitian and wound nurse specialist are available by referral, a physiotherapist is contracted for six hours weekly and a podiatrist visits resident regularly.  The family member interviewed stated they are kept informed of the resident’s health status and have the opportunity to meet with the nurse practitioner (NP) if required.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three-day urinary continence assessment, bowel management and the continence products that are required are identified.  Caregivers and RNs interviewed stated there is adequate continence supplies.</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are available.  Wound management policies and procedures are in place and weights are recorded at least monthly.  On the day of audit, there were 43 wounds documented for both floors.  The wounds included six grazes, nineteen skin tears, four chronic ulcers, three stage-one, six stage-two and one stage-three pressure injury, two blisters and two others.  All wounds had plans and evaluations recording progression or deterioration of the wounds, including regular photos.  Wound care specialist input was documented for chronic wounds and pressure injuries.  All wound assessments were fully completed on individual plans.  The shortfall related to wound management identified at the previous audit has been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in place for short-term/acute needs, these were not always reviewed and were either resolved, ongoing or added to the long-term care plan (link 1.3.8.2).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range of monitoring forms available for use and these have been completed as needed.  Monitoring charts in use included (but were not limited to), weight and vital signs, neuro observations, blood glucose, pain, restraint, food, and fluid, turning charts and behaviour monitoring as required.  Monitoring forms evidenced that the required observations were being completed in the prescribed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qualified diversional therapist and two activities coordinators work on a four on, two on rotation from 9 am to 4.30 pm covering a seven-day week.  The two activities coordinators are completing their diversional therapy training.  The Bupa Southern Regional occupational therapist oversees the activity programme, and meetings with the activity staff occur six-weekly.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divided into upstairs and downstairs communities and follow the same programme.  A monthly programme is developed, and a detailed weekly programme is distributed to all residents and posted on noticeboards.  Residents are encouraged to participate in a range of group activities such as exercises, walk and talk, bowls, and card and ball games, quiz and chat sessions, pet therapy and happy hour.  There are weekly drives/outings for residents to places of interest, fortnightly church services and regular entertainer visits.  There are resources available for care staff to use when activities staff are not available.  Activities are offered to meet the cognitive, physical, intellectual, and emotional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residents in all areas were observed being actively involved with a variety of activities with support and involvement of staff.  Staff could describe how YPD residents on disability contracts participate in a range of community events and activities consistent with their needs.</w:t>
            </w:r>
          </w:p>
          <w:p w:rsidR="00EB7645" w:rsidRPr="00BE00C7" w:rsidP="00BE00C7">
            <w:pPr>
              <w:pStyle w:val="OutcomeDescription"/>
              <w:spacing w:before="120" w:after="120"/>
              <w:rPr>
                <w:rFonts w:cs="Arial"/>
                <w:b w:val="0"/>
                <w:lang w:eastAsia="en-NZ"/>
              </w:rPr>
            </w:pPr>
            <w:r w:rsidRPr="00BE00C7">
              <w:rPr>
                <w:rFonts w:cs="Arial"/>
                <w:b w:val="0"/>
                <w:lang w:eastAsia="en-NZ"/>
              </w:rPr>
              <w:t>An activity profile and “Map of Life” is completed on or soon after admission in consultation with family input (as appropriate).  Socialising and activity plans were incorporated into the long-term care plan and reviewed six-monthly at the same time as the care plans.  Resident and family meetings are held bi-monthly, and residents were observed to engage in a variety of activities offered.  The family member interviewed spoke positively about the activities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People with a Disability: </w:t>
            </w:r>
          </w:p>
          <w:p w:rsidR="00EB7645" w:rsidRPr="00BE00C7" w:rsidP="00BE00C7">
            <w:pPr>
              <w:pStyle w:val="OutcomeDescription"/>
              <w:spacing w:before="120" w:after="120"/>
              <w:rPr>
                <w:rFonts w:cs="Arial"/>
                <w:b w:val="0"/>
                <w:lang w:eastAsia="en-NZ"/>
              </w:rPr>
            </w:pPr>
            <w:r w:rsidRPr="00BE00C7">
              <w:rPr>
                <w:rFonts w:cs="Arial"/>
                <w:b w:val="0"/>
                <w:lang w:eastAsia="en-NZ"/>
              </w:rPr>
              <w:t>There is a focus on providing individual activities for the younger residents.  Activities include one-on-one with the residents around specific interests, special movies and outings including ten pin bowling, shopping trips, cafés, and community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residents’ files reviewed, all initial care plans have been documented and evaluated by the RN within three weeks of admission.  Long-term care plans have been reviewed at least six-monthly or earlier for any health changes (link 1.3.5.2) in five of the six files reviewed.  One resident had been at the facility for less than six months.  In the files reviewed, evaluations did not always document progress towards meeting goals and not all sections of the care plan were evaluated.  There are short-term care plans available to focus on acute and short-term issues.  Wound care charts were evaluated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multidisciplinary review involves the RN, GP, activities staff, resident, relatives, unit coordinator and clinical manager.  The files reviewed reflected evidence of relatives being involved in the planning of care and reviews.  The family are invited to attend and/or notified of the outcome.  Ongoing nursing evaluations occur daily/as indicated and are documented within the progress notes.  In the files sampled care plans have been read and signed by either the resident (where appropriate) or the relative.  There is at least a three-monthly review by the GP with the majority of residents being seen monthly.  The relative interviewed confirmed they are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warrant of fitness expired on 1 October 2020, due to delays related to Covid-19.   Fire equipment is checked by an external provider.  The maintenance person interviewed described the reactive and preventative maintenance programme.  There is a 52-week planned maintenance programme in place.  Electrical equipment has been tested and tagged.  Hot water temperature is monitored weekly in resident areas and at hot water cylinders.  All wheelchairs had foot plates attached addressing the partial attainment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enough around the facility and handrails are available to promote safe mobility.  Residents were observed moving freely around the facility with mobility aids where required.  There are areas to wander inside and outside with well-maintained garden areas and courtyards.  Seating and shade 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nurse uses the information obtained through surveillance to determine infection control activities, resources and education needs within the facility.  Internal infection control audits also assist the service in evaluating infection control needs.  There is close liaison with the GPs and laboratory that advise and provide feedback/information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Effective monitoring is the responsibility of the infection control nurse.  This includes internal audits of the facility, hand hygiene spot checks and competencies and surveillance of infection control events and infections.  Surveillance data is available to all staff.  Infection statistics are included for benchmarking.  Corrective actions are established where infections are above the benchmark.  All infections are documented monthly in an infection control register.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outbreaks since the previous audit in April (unconfirmed norovirus) and August (respiratory) 2021.  Both outbreaks were well managed.  All notifications were made appropriately to the public health team, a section 31 notification was made, and Ministry of Primary Industries (MPI) were notified for the unconfirmed norovirus outbreak.  The MPI and DHB were satisfied with the processes and investigations.  Daily logs were maintained and meetings with staff were held daily.  A debrief meeting was held for both outbreaks.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process and procedures implemented to manage the risk posted by Covid-19.  Bupa implemented teleconferences during Covid-19 lockdown to ensure staff have the most up to date information; these are now approximately monthly.  Additional education has been provided around personal protective equipment (PPE) and 100% of staff have attended.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screened using the Covid-19 screen form prior to admission.  New residents are isolated for 14 days following admission.  All visitors and contractors are required to complete a health questionnaire and provide proof of vaccination status at reception.  All visitors and contractors must scan the QR code for contact tracing purposes.  Adequate supplies of personal protective equipment were sighted during the audit.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have been reviewing and updating policies in line with the Nga Paerewa 2021 health and disability standards.  Bupa have reviewed all restraints and enablers and removed the wording ‘enablers’ from the policy as from January 1st.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includes comprehensive restraint procedures.  There are clear guidelines in the policy to determine what a restraint is.  The new, Nga Paerewa 2021 restraint standards are being implemented and implementation is planned to be reviewed through internal audits, facility meetings, and regional restraint meetings and at an organisational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and education have been held in 2021 around restraint.  The last audit in September 2021 had 92% compliance rate.  Restraint education was held in July, and November in 2021.  Interviews with the staff confirmed their understanding of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five residents using restraints (bedrails), four of these were previously enablers.  There was evidence of discussion with families, assessments identified risks, and consents were appropriately signed.  Restraints are reviewed three-monthly by the GP.  Monitoring forms are maintained.  Quarterly meetings are held to discuss and review all restraints.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66"/>
        <w:gridCol w:w="1280"/>
        <w:gridCol w:w="5000"/>
        <w:gridCol w:w="2733"/>
        <w:gridCol w:w="15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management system.  All medicines are stored securely in locked cupboards or trolleys in secure treatment rooms.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eyedrops were dated on opening or were in use past the expiry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eyedrops are dated on opening and disposed of according to manufacturer’s instructions.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were documented by the registered nurse.  All residents had a long-term care plan in place.  Caregivers were knowledgeable about the individual resident care needs.  Registered nurses undertake a risk assessment for all residents however, interventions were not documented for all assessed care needs, and not all interventions in use had been documented in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Three of six care plans (one rest home and one hospital) had not been updated to reflect changes around mobility, and the care plan for the hospital resident did not have social changes updated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rest home resident  care plan did not include management of bladder spasms. </w:t>
            </w:r>
          </w:p>
          <w:p w:rsidR="00EB7645" w:rsidRPr="00BE00C7" w:rsidP="00BE00C7">
            <w:pPr>
              <w:pStyle w:val="OutcomeDescription"/>
              <w:spacing w:before="120" w:after="120"/>
              <w:rPr>
                <w:rFonts w:cs="Arial"/>
                <w:b w:val="0"/>
                <w:lang w:eastAsia="en-NZ"/>
              </w:rPr>
            </w:pPr>
            <w:r w:rsidRPr="00BE00C7">
              <w:rPr>
                <w:rFonts w:cs="Arial"/>
                <w:b w:val="0"/>
                <w:lang w:eastAsia="en-NZ"/>
              </w:rPr>
              <w:t>iii) Two hospital residents with diabetes did not include signs and symptoms or management of hypo and/or hyperglycaemia.</w:t>
            </w:r>
          </w:p>
          <w:p w:rsidR="00EB7645" w:rsidRPr="00BE00C7" w:rsidP="00BE00C7">
            <w:pPr>
              <w:pStyle w:val="OutcomeDescription"/>
              <w:spacing w:before="120" w:after="120"/>
              <w:rPr>
                <w:rFonts w:cs="Arial"/>
                <w:b w:val="0"/>
                <w:lang w:eastAsia="en-NZ"/>
              </w:rPr>
            </w:pPr>
            <w:r w:rsidRPr="00BE00C7">
              <w:rPr>
                <w:rFonts w:cs="Arial"/>
                <w:b w:val="0"/>
                <w:lang w:eastAsia="en-NZ"/>
              </w:rPr>
              <w:t>iv) Mobility interventions were not consistently documented for three hospital residents including a double amputee and two residents with changes in mobility.</w:t>
            </w:r>
          </w:p>
          <w:p w:rsidR="00EB7645" w:rsidRPr="00BE00C7" w:rsidP="00BE00C7">
            <w:pPr>
              <w:pStyle w:val="OutcomeDescription"/>
              <w:spacing w:before="120" w:after="120"/>
              <w:rPr>
                <w:rFonts w:cs="Arial"/>
                <w:b w:val="0"/>
                <w:lang w:eastAsia="en-NZ"/>
              </w:rPr>
            </w:pPr>
            <w:r w:rsidRPr="00BE00C7">
              <w:rPr>
                <w:rFonts w:cs="Arial"/>
                <w:b w:val="0"/>
                <w:lang w:eastAsia="en-NZ"/>
              </w:rPr>
              <w:t>v)  Interventions were not fully documented for two hospital residents assessed at moderate or high risk of risk of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  Interventions were not documented for one hospital resident with a supra-pubic catheter.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care plans are reflective of current evaluations. </w:t>
            </w:r>
          </w:p>
          <w:p w:rsidR="00EB7645" w:rsidRPr="00BE00C7" w:rsidP="00BE00C7">
            <w:pPr>
              <w:pStyle w:val="OutcomeDescription"/>
              <w:spacing w:before="120" w:after="120"/>
              <w:rPr>
                <w:rFonts w:cs="Arial"/>
                <w:b w:val="0"/>
                <w:lang w:eastAsia="en-NZ"/>
              </w:rPr>
            </w:pPr>
            <w:r w:rsidRPr="00BE00C7">
              <w:rPr>
                <w:rFonts w:cs="Arial"/>
                <w:b w:val="0"/>
                <w:lang w:eastAsia="en-NZ"/>
              </w:rPr>
              <w:t>ii) - vi)  Ensure Interventions are documented for all identified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care plans requiring evaluation had current documentation; however, the documentation did not always include progress against the goals.  Evaluations were documented by section, however not all sections had been evaluated.  Short term care plans are used for acute and short-term issues, however not all short-term care plans had been evaluated regularly.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Five of six care plans sampled (two rest home and three hospital including one on an ACC contract and one on a YPD contract) did not document progress towards goals.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short term care plan for a hospital resident with pressure injuries had not been evaluated for six weeks.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evaluations document progress towards meeting goals.</w:t>
            </w:r>
          </w:p>
          <w:p w:rsidR="00EB7645" w:rsidRPr="00BE00C7" w:rsidP="00BE00C7">
            <w:pPr>
              <w:pStyle w:val="OutcomeDescription"/>
              <w:spacing w:before="120" w:after="120"/>
              <w:rPr>
                <w:rFonts w:cs="Arial"/>
                <w:b w:val="0"/>
                <w:lang w:eastAsia="en-NZ"/>
              </w:rPr>
            </w:pPr>
            <w:r w:rsidRPr="00BE00C7">
              <w:rPr>
                <w:rFonts w:cs="Arial"/>
                <w:b w:val="0"/>
                <w:lang w:eastAsia="en-NZ"/>
              </w:rPr>
              <w:t>(ii) Ensure short term care plans are evaluated regularly.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all sections of the care plan are evaluated six-monthly.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delays in building inspections due to Covid restrictions.  The inspection when held, identified required remedial work.  The repairs were delayed as a result of tradesman availability over the Christmas break and are in progress.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building warrant of fitness expired on 1 October 2021.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of a current building certificate.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Parkstone Care Home</w:t>
    </w:r>
    <w:bookmarkEnd w:id="58"/>
    <w:r>
      <w:rPr>
        <w:rFonts w:cs="Arial"/>
        <w:sz w:val="16"/>
        <w:szCs w:val="20"/>
      </w:rPr>
      <w:tab/>
      <w:t xml:space="preserve">Date of Audit: </w:t>
    </w:r>
    <w:bookmarkStart w:id="59" w:name="AuditStartDate1"/>
    <w:r>
      <w:rPr>
        <w:rFonts w:cs="Arial"/>
        <w:sz w:val="16"/>
        <w:szCs w:val="20"/>
      </w:rPr>
      <w:t>13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