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Parata Anglican Charitable Trust Board - Parata Anglican Charitable Trust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Parata Anglican Charitable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Parata Anglican Charitable Trust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January 2022</w:t>
      </w:r>
      <w:bookmarkEnd w:id="7"/>
      <w:r w:rsidRPr="009418D4">
        <w:rPr>
          <w:rFonts w:cs="Arial"/>
        </w:rPr>
        <w:tab/>
        <w:t xml:space="preserve">End date: </w:t>
      </w:r>
      <w:bookmarkStart w:id="8" w:name="AuditEndDate"/>
      <w:r w:rsidR="00A4268A">
        <w:rPr>
          <w:rFonts w:cs="Arial"/>
        </w:rPr>
        <w:t>12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Parata Home provides care for up to 26 rest home level residents.  On the day of the audit there were 23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GP, and management.  </w:t>
      </w:r>
    </w:p>
    <w:p w:rsidRPr="00A4268A">
      <w:pPr>
        <w:spacing w:before="240" w:line="276" w:lineRule="auto"/>
        <w:rPr>
          <w:rFonts w:eastAsia="Calibri"/>
        </w:rPr>
      </w:pPr>
      <w:r w:rsidRPr="00A4268A">
        <w:rPr>
          <w:rFonts w:eastAsia="Calibri"/>
        </w:rPr>
        <w:t>There has been changes to the management team since the previous audit.  The care manager is a registered nurse and has been in the role since November 2021. The care manager is supported by an experienced registered nurse, an experienced administrator, enrolled nurse (health and safety coordinator) receptionist, and a team of experienced long serving staff.  Residents and relatives interviewed were very complimentary of the services and care they receive.</w:t>
      </w:r>
    </w:p>
    <w:p w:rsidRPr="00A4268A">
      <w:pPr>
        <w:spacing w:before="240" w:line="276" w:lineRule="auto"/>
        <w:rPr>
          <w:rFonts w:eastAsia="Calibri"/>
        </w:rPr>
      </w:pPr>
      <w:r w:rsidRPr="00A4268A">
        <w:rPr>
          <w:rFonts w:eastAsia="Calibri"/>
        </w:rPr>
        <w:t xml:space="preserve">The service has addressed the previous three certification shortfalls relating to policies and procedures, satisfaction surveys and reviewing the hazard register.   </w:t>
      </w:r>
    </w:p>
    <w:p w:rsidRPr="00A4268A">
      <w:pPr>
        <w:spacing w:before="240" w:line="276" w:lineRule="auto"/>
        <w:rPr>
          <w:rFonts w:eastAsia="Calibri"/>
        </w:rPr>
      </w:pPr>
      <w:r w:rsidRPr="00A4268A">
        <w:rPr>
          <w:rFonts w:eastAsia="Calibri"/>
        </w:rPr>
        <w:t xml:space="preserve">This surveillance audit identified a shortfall around education.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care manager is responsible for the day-to-day operations.  Goals are documented for the service with evidence of regular reviews.  A quality and risk management programme has been implemented and meetings are held to discuss quality data.  Satisfaction surveys are held annually and evidence a high level of satisfaction.  The risk management programme includes managing adverse events and health and safety processes.  The enrolled nurse leads the health and safety programme with oversight from the care manager.  </w:t>
      </w:r>
    </w:p>
    <w:p w:rsidRPr="00A4268A">
      <w:pPr>
        <w:spacing w:before="240" w:line="276" w:lineRule="auto"/>
        <w:rPr>
          <w:rFonts w:eastAsia="Calibri"/>
        </w:rPr>
      </w:pPr>
      <w:r w:rsidRPr="00A4268A">
        <w:rPr>
          <w:rFonts w:eastAsia="Calibri"/>
        </w:rPr>
        <w:t xml:space="preserve">An incident management system is implemented which evidenced appropriate follow-up by the registered nurse.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An education plan is documented to include in-service education and competency assessments.  Residents, relatives, and staff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care plan documentation.  InterRAI assessments and care plans are completed and reviewed within required timeframes.  Planned activities are appropriate to the resident’s assessed needs and abilities.  Residents and families advised satisfaction with the activities programme.  </w:t>
      </w:r>
    </w:p>
    <w:p w:rsidRPr="00A4268A" w:rsidP="00621629">
      <w:pPr>
        <w:spacing w:before="240" w:line="276" w:lineRule="auto"/>
        <w:rPr>
          <w:rFonts w:eastAsia="Calibri"/>
        </w:rPr>
      </w:pPr>
      <w:r w:rsidRPr="00A4268A">
        <w:rPr>
          <w:rFonts w:eastAsia="Calibri"/>
        </w:rPr>
        <w:t xml:space="preserve">Medication management is in line with current legislation and guidelines.  The service uses an electronic medication management system.  All staff administering medications have competencies in place.  Food, fluid, and nutritional needs of residents are provided in line with recognised nutritional guidelines and additional requirements/modified needs were being met.  Residents were complimentary of the food services.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Parata Home has a current form 12 issued in place of a building warrant of fitness declaring all emergency systems are compliant.  A preventative and reactive maintenance schedule is in place.  Hot water temperatures are monitored and are within expected ranges.  Essential contractors are available.  Staff interviewed reported they have adequate equipment to provide resident cares.  </w:t>
      </w:r>
    </w:p>
    <w:p w:rsidRPr="00A4268A">
      <w:pPr>
        <w:spacing w:before="240" w:line="276" w:lineRule="auto"/>
        <w:rPr>
          <w:rFonts w:eastAsia="Calibri"/>
        </w:rPr>
      </w:pPr>
      <w:r w:rsidRPr="00A4268A">
        <w:rPr>
          <w:rFonts w:eastAsia="Calibri"/>
        </w:rPr>
        <w:t xml:space="preserve">The facility layout provides easy access for all residents using mobility aids to access all communal areas.  The gardens and outdoor areas are well groomed and have seating and shaded areas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Parata Home has restraint minimisation and safe practice policies and procedures in place.  Restraint and challenging behaviour are included in the documented education planner.  The service currently has one resident requiring restraint and no residents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Parata Home continues to implement their infection surveillance programme.  The care manager/RN is the infection control coordinator.  Infection control data is discussed at facility meetings.  The infection control programme is linked with the quality programme.  There have been no outbreaks since the previous audit.  A covid preparedness folder is available to staff which provides information around current guidelines and regulations and has a documented outbreak plan for staff to follow.  Adequate supplies of personal protective equipment were sighted during the audit.  Staff interviewed were knowledgeable around current guidelines, visiting restrictions and infection control practices.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35"/>
        <w:gridCol w:w="1280"/>
        <w:gridCol w:w="101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manager maintains a record of all complaints, both verbal and written, by using a complaint register.  The care manager described documentation including follow-up letters and resolution, that if complaints were made, they would be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five residents and two relatives confirmed they were provided with information on complaints and complaints forms.  Complaints forms are in a visible location at the entrance to the facility.  There have been four complaints logged since the previous audit (one in 2020 and three in 2021).  Staff interviewed (one registered nurse, one enrolled nurse, two caregivers, one cook, one maintenance and one activities assistant) could describe processes around complaint management and described referring all residents and relatives wishing to make a complaint to the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external complaints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reports are paper-based and have a section to indicate if next of kin have been informed (or not) of an accident/incident.  Ten accident/incident forms reviewed (from December 2021), identified family are kept informed.  The two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stated they were able to phone the facility during lockdown periods, some residents have their own phone, so this made communication easier.  There was also the option of virtual calls using zoom.  The satisfaction survey evidenced a 100% satisfaction rate around communication.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Anglican Charitable Trust board provides overarching governance to the service, with support provided by a board trustee/administrator.  The service provides rest home level care for up to 26 residents.  On the day of audit, there were 23 residents.  All residents were under the Age-related residential care services agreement (ARCC), one resident has a dispensation for hospital level care from July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registered nurse who has been in the position since October 2021.  They have experience as a registered nurse and as a clinical lead in aged care.  The care manager is supported by one experienced registered nurse, one experienced enrolled nurse, one casual registered nurse and a team of long-standing experienced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full-time administrator is employed to attend to facility business, human resource management and attend the board meetings with the care manager.  She is supported by a part time receptionist.  The manager provides a report to the board prior to board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business/quality plan (2021-2022) is reviewed regularly.  A philosophy, mission statement and key values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has attended aged residential care meetings and plans to attend management and leadership education when next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Home has a documented quality and risk management programme.  The care manager ensures internal audits, data collection, and collation of data are all documented as taking place with remedial actions as needed.  A monthly report for the board includes all quality data, trending, and analysis.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processes are in place to capture and manage non-compliances.  They include internal audits, hazard management, risk management, incident and accident and infection control data collection and complaints management.  A range of quality improvement data is discussed at three monthly combined quality/staff/infection control and health and safety meetings.  Meeting minutes reflect discussion and corrective action plans required.  The service is in the process of performing the annual review of the 2021 quality data collated.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the service has purchased up-to-date policies and procedures from an external consultant.  These have been reviewed and made available to staff to read.  The previous shortfall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Improvements since the previous audit include the installation of a sanitiser, provision of staff uniforms and ‘scrubs’ for outbreak management, hand washing stations (free flowing soap and paper towels) are available in all resident rooms, and there is no longer crossover between kitchen and care work.  The service has implemented an electronic medication system and has upgraded the phone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2020 relative and resident satisfaction survey evidenced 100% satisfaction across the service with the exception of activities at 90%.  A corrective action plan was implemented around supplying name badges for staff, and a review of the tea-time meals following comments made on the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2021 residents and relatives’ surveys evidenced 100% satisfaction across all areas of the service with no corrective actions identified.  The previous shortfall has been addressed around offering satisfaction surveys to residents and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resident meeting held in 2021 and residents offer feedback verbally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health and safety officer (enrolled nurse).  A risk management plan is in place.  Health and safety issues are discussed at three-monthly quality/staff meetings with action plans documented to address issues raised.  Hazards are identified, managed, and documented, and the hazard register was last reviewed in February 2021.  The previous shortfall around review of the hazard register has been addressed.  Falls prevention strategies are in place for individual residents to include the use of sensor mats, low hospital beds, chair sensors and increasing staff awareness around monitoring.  A fall prevention coordinator (retired physiotherapist) has been employed over two afternoons a week to review residents who fall frequently and completes a post fall review of residents.  A physiotherapist and occupational therapist are available on referral.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collated and analysed for trends monthly.  Ten resident related accident/incident forms were reviewed.  Each event involving a resident reflected a clinical assessment and follow-up by a registered nurse.  Neurological observations have been conducted for suspected head injuries and unwitnessed falls.  Opportunities to minimise the risks are documented where identified.  Incident reports are reviewed and signed off by the care manager and/or the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the administrator are aware of their requirement to notify relevant authorities in relation to essential notifications.  There was a section 31 notification made for the change in management.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Five staff files were reviewed; one care manager/RN, one cook/kitchenhand, one activities coordinator, all employed since the last audit, and two caregivers.  The files reviewed evidenced implementation of the recruitment process, employment contracts, and completed orientation.  Appraisals were completed for the two long standing caregivers.  The sample was increased by a further five to review appraisals only.  All five files had completed annual appraisals on file.     </w:t>
            </w:r>
          </w:p>
          <w:p w:rsidR="00EB7645" w:rsidRPr="00BE00C7" w:rsidP="00BE00C7">
            <w:pPr>
              <w:pStyle w:val="OutcomeDescription"/>
              <w:spacing w:before="120" w:after="120"/>
              <w:rPr>
                <w:rFonts w:cs="Arial"/>
                <w:b w:val="0"/>
                <w:lang w:eastAsia="en-NZ"/>
              </w:rPr>
            </w:pPr>
            <w:r w:rsidRPr="00BE00C7">
              <w:rPr>
                <w:rFonts w:cs="Arial"/>
                <w:b w:val="0"/>
                <w:lang w:eastAsia="en-NZ"/>
              </w:rPr>
              <w:t>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includes buddying when first employed.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are completed, and a record of completion is maintained.  Competencies include manual handling, medication, first aid, fire safety, and infection control including donning and doffing personal protective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documented, however not all compulsory education sessions have been evidenced as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a Careerforce assessor.  The caregivers are encouraged to undertake NZQA training (Careerforce).  Currently there are two caregivers who have achieved level 3 health and wellbeing, and a further two caregivers are in the process of completing level 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there are two cleaning staff who have completed level 2 NZQA.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have access to external training through the SDHB and hospice.  The registered nurses have completed syringe driver and wound competencies and have current first aid certificates.  There are three registered nurses including the care manager who are all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rational and policy; staffing levels meet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registered nurse cover between Monday to Thursday from 8 am to 4.30 pm.  The enrolled nurse works Fridays.  A registered nurse and senior caregiver work alternate weekends.  The registered nurses and care manager provide ‘on call’ support afterhours.  There is a minimum of one staff member with a current first aid certificate and a medication competency on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as follows: </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four caregivers: 1x 7.15 am to 4 pm (senior medication competent),1x 7.30 am to 4.15 pm, 1x 7 am to 10 am, 1x 7.30 am to 12.30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has three caregivers: 1x 2.30 pm to 11 pm (senior medication competent), 1x 4 pm to 11 pm, and 1x 6 pm to 9 pm.</w:t>
            </w:r>
          </w:p>
          <w:p w:rsidR="00EB7645" w:rsidRPr="00BE00C7" w:rsidP="00BE00C7">
            <w:pPr>
              <w:pStyle w:val="OutcomeDescription"/>
              <w:spacing w:before="120" w:after="120"/>
              <w:rPr>
                <w:rFonts w:cs="Arial"/>
                <w:b w:val="0"/>
                <w:lang w:eastAsia="en-NZ"/>
              </w:rPr>
            </w:pPr>
            <w:r w:rsidRPr="00BE00C7">
              <w:rPr>
                <w:rFonts w:cs="Arial"/>
                <w:b w:val="0"/>
                <w:lang w:eastAsia="en-NZ"/>
              </w:rPr>
              <w:t>Night shift has one medication competent caregiver with a current first aid certificate from 10.45 pm to 7.15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relatives and clinical staff confirmed staffing overall was satisfactory.  Residents stated their call bells were answered within acceptable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around medication management which are reflective of current legislation and guidelines.  Since the previous audit, Parata Home have implemented an electronic medication management system.  The supplying pharmacy couriers all medicines in blister packs for regular and ‘as required’ medications.  Medications were checked and signed on arrival from the pharmacy.  There are two lockable medication trolleys used to complete the morning drug round to ensure residents are receiving medications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senior caregivers are assessed as medication competent to administer medication.  Registered nurses have completed syringe driver training.  Standing orders are not in use.  The medication fridge temperatures have been monitored daily and temperatures were within the acceptable range.  Ten medication files were reviewed.  Medication reviews were completed by the GP three monthly.  ‘As required’ (PRN) medications were prescribed correctly with indications for use.  Medications are stored securely in the locked nurses’ station.  The medication internal audit completed in September 2021 was fully compliant.  There were no expired drugs on site and all eyedrops and creams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self-medicating residents (eye drops and inhalers) on the day of the audit.  Both had competencies in place which were reviewed three monthly by the GP.  Medication was stored securely in residents’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functional centrally located kitchen and all food is cooked on site.  There is a food services manual in place to guide staff.  There are four cooks who have food handling certificates and considerable cooking experience, who are supported by three kitchenhands.  Food is served from the main kitchen to the dining area adjacent to it.  A current food control plan is in place expiring 13 March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diets are being catered for.  The four-week summer and winter menu has been reviewed by a registered dietitian and is due for a review in 2022.  Residents have had a nutritional profile developed on admission which identifies dietary requirements and likes and dislikes.  This is reviewed six monthly as part of the care plan review or sooner if required.  The cook interviewed was aware of changes in resident’s nutritional needs and was knowledgeable around the current nutritional requirements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 satisfaction survey was completed and showed 100% satisfaction with food services for the last two years.  Regular audits of the kitchen fridge/freezer temperatures and food temperatures were undertaken and documented.  All food is stored appropriately.  There is special equipment available for residents if required.  Residents and relatives interviewed reported satisfaction with meals using words such as “perfect”, “lovely”, and “love the food”.  Meals are discussed at the resident meetings and feedback is given to kitchen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specialist consultation.  The registered nurses and caregivers follow the plan and report progress against the plan each shift.  There is documented evidence on the family contact form in each resident file that indicates relatives were notified of any changes to their relative’s health.  Discussions with relatives confirmed they are notified promptly of any changes to their relative’s health.  Short-term care plans are used for short-term/acute changes in care.  These were in place for wounds and infections in the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wounds including one stage 1 pressure injury.  The wound care specialist has been involved with two chronic ulcers.  All wounds had individual wound assessments, plans, and evaluations which indicated progression or deterioration of the wounds.  Photographs of the wounds were taken at regular intervals which evidence progression towards healing and are emailed to the wound care specialist.  The GP reviews wound progression at the three-monthly reviews.  Adequate dressing supplies were sighted in the medication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There is access to a continence nurse specialist by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for weight and vital signs, blood sugar levels, pain, challenging behaviour, food, and fluid charts.  Residents are weighed monthly or more frequently if weight is of concern.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just appointed a permanent activities assistant into the role, who is due to commence work in the near future.  In the meantime, a caregiver with previous experience in providing activities in aged care and dementia level care has been covering activities and providing activities in the community room/day centre.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provided on Wednesdays and Fridays between 9 am and 4 pm.  Pre-Covid and as guidelines allow, residents have been joining the residents in the day centre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activities are provided including bowls, golf, happy hours, and housie, jigsaw, movie afternoons, church services, baking and arts and crafts.  There are weekly outings, to destinations of the residents choosing.  The driver has a current first aid certificate.  In line with current guidelines, residents can only get out of the bus where there are no other people for a picnic.  </w:t>
            </w:r>
          </w:p>
          <w:p w:rsidR="00EB7645" w:rsidRPr="00BE00C7" w:rsidP="00BE00C7">
            <w:pPr>
              <w:pStyle w:val="OutcomeDescription"/>
              <w:spacing w:before="120" w:after="120"/>
              <w:rPr>
                <w:rFonts w:cs="Arial"/>
                <w:b w:val="0"/>
                <w:lang w:eastAsia="en-NZ"/>
              </w:rPr>
            </w:pPr>
            <w:r w:rsidRPr="00BE00C7">
              <w:rPr>
                <w:rFonts w:cs="Arial"/>
                <w:b w:val="0"/>
                <w:lang w:eastAsia="en-NZ"/>
              </w:rPr>
              <w:t>Activities care plans and evaluations were in all the files sampled.  Care plans sampled were developed at admission and evaluated six monthly, within the timeframes required.  Resident input into the activities programme was gathered at admission and from input at residents’ meetings as well as any suggestions made by residents or relatives/whānau.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planner at present that provides information regarding available activities.  The programme is designed to be flexible to allow for spontaneous events of interest to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around activities was held in July, with no findings, and the satisfaction survey in 2020 evidenced 90% satisfaction with activities, a corrective action plan was implemented, and activities scored 100% satisfaction in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relatives and residents interviewed expressed satisfaction with the activities provided and the staff involved.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files sampled included a summary care plan as well as short-term and long-term care plans.  These included evaluations completed at the appropriate timeframes.  The long-term care plans were updated when there were ongoing changes with residents’ condition and function.  Short-term care plans were used in response to changes in health status and these were evaluated and resolved or added to the long-term care plan if the problem is ongoing.  GP reviews are completed at least three monthly or earlier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utilisation of a multi-disciplinary approach is demonstrated in the evaluation of care plans with feedback from GPs, nurse practitioner, speech and language therapist and other health professionals involved in the resident’s care.  Progression towards meeting goals is discussed with relatives and are documented in the care plan evaluations.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Home holds a current form 12 instead of a building warrant of fitness certificate as essential checks were unable to be performed fully with Covid-19 lockdowns.  This form declares all emergency systems are compliant and is due to expire in June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interviewed described preventative and reactive schedules maintained.  A maintenance book is kept in reception for staff to report all reactive maintenance issues.  Hot water temperatures are checked and maintained within expected ranges.  External contractors are available 24 hours a day.  All equipment has been tagged, tested, and calibrated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are accessible for residents using mobility aids.  There is a large open communal lounge area with a conservatory for residents and relatives to have some privacy if required.  Outdoor areas and gardens are well maintained and accessible to residents.  The gardens have seating and shade provided by the trees.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sufficient equipment including mobility aids, wheelchairs, and pressure injury equipment (if required), to safely deliver the cares as outlined in the residents’ care plans.  There is a hoist available if required, and the service has recently purchased a ‘chair razer’ which can assist residents on the floor to a seated position.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Parata Home continue to implement their infection surveillance programme.  Individual infection alert forms were completed for all infections.  Infections were included on a monthly register and a monthly report and graphs were completed by the infection control coordinator (care manager/registered nurse).  Infection control (IC) issues were discussed at the combined quality and staff meetings.  The IC programme is linked with the quality programme.  In-service education is provided annually and in toolbox talks when required.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has been working with the DHB around Covid preparedness.  A folder has been developed documenting an action plan, which details red and green areas, delivery of meals, staffing, and what to do in the first 24 hours of the outbreak.  The service has met all the recommendations of the DHB Covid preparedness audit, including the purchase of a sanitiser.  Training has been held around donning and doffing of personal protective equipment, handwashing, and infection control in 2021 by an external infection control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visitors and contractors are required to sign in on arrival, temperature and wellness screening are completed on entry to the facility.  Contact tracing is completed using the QR code.  Visiting is by appointment only at present in line with current guidelines.  All visitors are required to provide their vaccine pass prior to entry.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and safe practice policy that is applicable to the service.  The facility manager is the restraint coordinator.  There is currently one resident using a bedrail and a lap-blet as restraint.  Consents, assessments, and reviews were completed appropriately, and risks have been identified.  Monitoring forms are maintained.  There were no residents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which is congruent with the definition in NZS 8134.0.  Restraint/enabler and challenging behaviour training is included in the education planner, however, has not been held as scheduled (link 1.2.7.5).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could fluently describe the differences between restraint and enablers, including procedures and monitoring requirements around these.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90"/>
        <w:gridCol w:w="1280"/>
        <w:gridCol w:w="2871"/>
        <w:gridCol w:w="5424"/>
        <w:gridCol w:w="14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education planner documented in line with ARC and policy requirements, however not all education sessions were evidenced as occurring.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sessions not evidenced as occurring within the last two years include restraint and challenging behaviour, sexuality and intimacy, communication, end of life and palliative care, nutrition and hydration, pain, spirituality, aging process, chemicals, and food safety for kitchen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education sessions are held according to the education planner.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Parata Anglican Charitable Trust Board - Parata Anglican Charitable Trust</w:t>
    </w:r>
    <w:bookmarkEnd w:id="58"/>
    <w:r>
      <w:rPr>
        <w:rFonts w:cs="Arial"/>
        <w:sz w:val="16"/>
        <w:szCs w:val="20"/>
      </w:rPr>
      <w:tab/>
      <w:t xml:space="preserve">Date of Audit: </w:t>
    </w:r>
    <w:bookmarkStart w:id="59" w:name="AuditStartDate1"/>
    <w:r>
      <w:rPr>
        <w:rFonts w:cs="Arial"/>
        <w:sz w:val="16"/>
        <w:szCs w:val="20"/>
      </w:rPr>
      <w:t>11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