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Te Wiremu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Wiremu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2022</w:t>
      </w:r>
      <w:bookmarkEnd w:id="7"/>
      <w:r w:rsidRPr="009418D4">
        <w:rPr>
          <w:rFonts w:cs="Arial"/>
        </w:rPr>
        <w:tab/>
        <w:t xml:space="preserve">End date: </w:t>
      </w:r>
      <w:bookmarkStart w:id="8" w:name="AuditEndDate"/>
      <w:r w:rsidR="00A4268A">
        <w:rPr>
          <w:rFonts w:cs="Arial"/>
        </w:rPr>
        <w:t>2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 Wiremu House provides rest home, hospital and dementia care for up to 85 residents. The service is operated by Heritage Lifecare Limited (HLL) and managed by a care home and village manager (CHVM) supported by a clinical services manager (CSM). There have been no significant changes to the service and facilities since the previous audit.</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contracts with the district health board. The audit process included review of policies and procedures, review of residents’ and staff files, observations, and interviews with residents, whānau, management, staff, a contracted nurse practitioner, and other contracted allied health providers.</w:t>
      </w:r>
    </w:p>
    <w:p w:rsidRPr="00A4268A">
      <w:pPr>
        <w:spacing w:before="240" w:line="276" w:lineRule="auto"/>
        <w:rPr>
          <w:rFonts w:eastAsia="Calibri"/>
        </w:rPr>
      </w:pPr>
      <w:r w:rsidRPr="00A4268A">
        <w:rPr>
          <w:rFonts w:eastAsia="Calibri"/>
        </w:rPr>
        <w:t>This audit has resulted in two areas requiring improvement, both related to medication management. Residents and whānau interviewed spoke positively about the service and care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Code of Health and Disability Services Consumer Rights (the Code) is incorporated into the service’s policies and procedures, and into everyday practice in the way care and support is provided. Residents who were interviewed advised that they are aware of their rights and can choose what they want to do. They confirmed that there is good communication from staff.</w:t>
      </w:r>
    </w:p>
    <w:p w:rsidRPr="00A4268A">
      <w:pPr>
        <w:spacing w:before="240" w:line="276" w:lineRule="auto"/>
        <w:rPr>
          <w:rFonts w:eastAsia="Calibri"/>
        </w:rPr>
      </w:pPr>
      <w:r w:rsidRPr="00A4268A">
        <w:rPr>
          <w:rFonts w:eastAsia="Calibri"/>
        </w:rPr>
        <w:t>Residents are treated with dignity, respect, and understanding. Privacy is respected and ongoing family involvement is encouraged. Cultural and spiritual values, beliefs, and wishes are identified and supported. There is ongoing contact with the local health and disability service advocate.</w:t>
      </w:r>
    </w:p>
    <w:p w:rsidRPr="00A4268A">
      <w:pPr>
        <w:spacing w:before="240" w:line="276" w:lineRule="auto"/>
        <w:rPr>
          <w:rFonts w:eastAsia="Calibri"/>
        </w:rPr>
      </w:pPr>
      <w:r w:rsidRPr="00A4268A">
        <w:rPr>
          <w:rFonts w:eastAsia="Calibri"/>
        </w:rPr>
        <w:t>Residents can participate in a range of activities, both within the service and in the wider community. They are supported and encouraged to be as independent as possible.</w:t>
      </w:r>
    </w:p>
    <w:p w:rsidRPr="00A4268A">
      <w:pPr>
        <w:spacing w:before="240" w:line="276" w:lineRule="auto"/>
        <w:rPr>
          <w:rFonts w:eastAsia="Calibri"/>
        </w:rPr>
      </w:pPr>
      <w:r w:rsidRPr="00A4268A">
        <w:rPr>
          <w:rFonts w:eastAsia="Calibri"/>
        </w:rPr>
        <w:t>There was no evidence of abuse or neglect, or any discrimination, coercion, harassment, sexual, financial, or other exploitation. Residents and whānau interviewed spoke very positively about the care and support provided.</w:t>
      </w:r>
    </w:p>
    <w:p w:rsidRPr="00A4268A">
      <w:pPr>
        <w:spacing w:before="240" w:line="276" w:lineRule="auto"/>
        <w:rPr>
          <w:rFonts w:eastAsia="Calibri"/>
        </w:rPr>
      </w:pPr>
      <w:r w:rsidRPr="00A4268A">
        <w:rPr>
          <w:rFonts w:eastAsia="Calibri"/>
        </w:rPr>
        <w:t>A complaints register is maintained with complaints resolved promptly and effectively. There is currently one Health and Disability Commissioner (HDC) complaint in progress.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HLL is the governing body for Te Wiremu House and is responsible for the services provided. Business and quality and risk management plans include the goals and values of the organisation. Monitoring of the services is provided to HLL support office and this is regular and effective.</w:t>
      </w:r>
    </w:p>
    <w:p w:rsidRPr="00A4268A">
      <w:pPr>
        <w:spacing w:before="240" w:line="276" w:lineRule="auto"/>
        <w:rPr>
          <w:rFonts w:eastAsia="Calibri"/>
        </w:rPr>
      </w:pPr>
      <w:r w:rsidRPr="00A4268A">
        <w:rPr>
          <w:rFonts w:eastAsia="Calibri"/>
        </w:rPr>
        <w:t>An experienced and suitably qualified CHVM manages the facility, supported by a CSM, with additional support from the regional quality manager. The CHVM is experienced in the management of an aged care facility having been in the post for 13 years. The CSM is a registered nurse (RN) who is responsible for clinical management and oversight of care services. The CSM has been in the current role for 18 months but has had 15 years’ experience as an RN at Te Wiremu House. The clinical manager is supported by a team of experienced RNs.</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The facility collects information to monitor key quality indicators, including complaints, and organisational performance. Staff are involved and feedback is sought from residents and whānau. Adverse events are documented with corrective actions implemented. Actual and potential risks, including hazards and health and safety risks, are identified, and mitigated. Policies and procedures support service delivery, they are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Annual practising certification for those who require them to practice are current. A systematic approach to identify and deliver ongoing training supports safe service delivery and includes regular individual performance review.</w:t>
      </w:r>
    </w:p>
    <w:p w:rsidRPr="00A4268A">
      <w:pPr>
        <w:spacing w:before="240" w:line="276" w:lineRule="auto"/>
        <w:rPr>
          <w:rFonts w:eastAsia="Calibri"/>
        </w:rPr>
      </w:pPr>
      <w:r w:rsidRPr="00A4268A">
        <w:rPr>
          <w:rFonts w:eastAsia="Calibri"/>
        </w:rPr>
        <w:t>Staffing levels are adequate across the service and the skill mix meets the changing needs of residents. RNs are on duty 24 hours per day, seven days per week. All RNs and some other staff have current first aid certification.</w:t>
      </w:r>
    </w:p>
    <w:p w:rsidRPr="00A4268A">
      <w:pPr>
        <w:spacing w:before="240" w:line="276" w:lineRule="auto"/>
        <w:rPr>
          <w:rFonts w:eastAsia="Calibri"/>
        </w:rPr>
      </w:pPr>
      <w:r w:rsidRPr="00A4268A">
        <w:rPr>
          <w:rFonts w:eastAsia="Calibri"/>
        </w:rPr>
        <w:t>Resident information is held securely and meets all requirements of the standards.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Te Wiremu House policies and procedures provide documented guidelines for access and entry to service. All residents are assessed before entry to the service to confirm their level of care. The nursing team is responsible for all assessments, care planning, and evaluation of service delivery plans. Care plans are individualised and based on the residents’ assessed needs and basic routines. Interventions developed are appropriate and evaluated within the recommended time frames. The ongoing evaluation process ensured that assessments reflected the residents’ status.</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were completed in consultation with nominated whānau and included residents’ activities of interest.  Residents and whānau expressed satisfaction with how activities are conducted at the service and the activities programme in place.</w:t>
      </w:r>
    </w:p>
    <w:p w:rsidRPr="00A4268A" w:rsidP="00621629">
      <w:pPr>
        <w:spacing w:before="240" w:line="276" w:lineRule="auto"/>
        <w:rPr>
          <w:rFonts w:eastAsia="Calibri"/>
        </w:rPr>
      </w:pPr>
      <w:r w:rsidRPr="00A4268A">
        <w:rPr>
          <w:rFonts w:eastAsia="Calibri"/>
        </w:rPr>
        <w:t>There is a medicine management system in place. All medications are reviewed by the general practitioner (GP) and nurse practitioners (NPs) every three months. Staff involved in medication administration have current medication competencies.</w:t>
      </w:r>
    </w:p>
    <w:p w:rsidRPr="00A4268A" w:rsidP="00621629">
      <w:pPr>
        <w:spacing w:before="240" w:line="276" w:lineRule="auto"/>
        <w:rPr>
          <w:rFonts w:eastAsia="Calibri"/>
        </w:rPr>
      </w:pPr>
      <w:r w:rsidRPr="00A4268A">
        <w:rPr>
          <w:rFonts w:eastAsia="Calibri"/>
        </w:rPr>
        <w:t>The food service provides for specific dietary likes and dislikes of the residents. Residents’ nutritional requirements are met.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Te Wiremu House has systems in place to meet the needs of residents. It was clean and well maintained. There was a current building warrant of fitness. Electrical equipment and hot water temperatures are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and the use of emergency equipment and supplies.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policy documents enabler and restraint procedures. The policy contains a comprehensive assessment, approval, and monitoring process with a requirement for regular review. Use of enablers is voluntary for the safety of residents in response to individual requests. Three enablers and 11 restraints are in use at the time of audit. Staff are trained in restraint minimisation and challenging behaviour management and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(ICC) is responsible for coordinating the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5"/>
        <w:gridCol w:w="1280"/>
        <w:gridCol w:w="96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the annual in-service education programme. For example, staff were observed knocking on residents' doors before entering their rooms, staff spoke to residents with respect and dignity, calling residents by their preferred names. Staff were observed on the days of the audit to demonstrate knowledge of the Code when interacting with residents. The last training on the Code was conducted during the service’s ‘toolbox talk’ on 28 May 2021.</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confirmed that they are treated with respect and understand their rights. The whānau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the enduring power of attorney (EPOA), where applicable. All residents in the dementia wing had enacted EPOA. The GP makes a clinically based decision on resuscitation authorisation.</w:t>
            </w:r>
          </w:p>
          <w:p w:rsidR="00EB7645" w:rsidRPr="00BE00C7" w:rsidP="00BE00C7">
            <w:pPr>
              <w:pStyle w:val="OutcomeDescription"/>
              <w:spacing w:before="120" w:after="120"/>
              <w:rPr>
                <w:rFonts w:cs="Arial"/>
                <w:b w:val="0"/>
                <w:lang w:eastAsia="en-NZ"/>
              </w:rPr>
            </w:pPr>
            <w:r w:rsidRPr="00BE00C7">
              <w:rPr>
                <w:rFonts w:cs="Arial"/>
                <w:b w:val="0"/>
                <w:lang w:eastAsia="en-NZ"/>
              </w:rPr>
              <w:t>There are guidelines in the policy for advance directives that meet legislative requirements. Advance directives and advance care plans are used to enable residents to choose and make decisions related to end-of-life care. Some files reviewed had signed advance care plans that identify residents’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their whānau are given a copy of the Code, which includes information on advocacy services. Posters and brochures related to the nationwide advocacy service were displayed and available in the facility. Residents and whānau were aware of the advocacy service, how to access this, and their right to have support persons. The CSM and staff provided examples of the involvement of advocacy services concerning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whānau and the community by attending a variety of organised outings, visits, shopping trips, activities, and entertainment. All residents are assisted in accessing community resources and mainstream support. Whānau and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whānau and friends. Currently, all visiting/outings are strictly by appointment following all infection prevention and control protocols under the current COVID-19 restrictions. Whānau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whānau on admission and those interviewed knew how to make a complaint should they choose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35 complaints have been received over the past year and that actions taken, through to an agreed resolution, are documented and completed within the appropriate timeframe. Complaints related to service issues included food (21), the environment (four), resident care (nine), and treatment (one). Action plans showed any required follow up and improvements or corrections have been made. The CHVM is responsible for complaints management and follow up with support from the HLL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an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has also been one complaint received from the Office of the Health and Disability Commissioner relating to resident care. HLL and Te Wiremu House have responded to the complaint in writing (on 29 April 2021); the complaint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Opportunities for discussion and clarification relating to the Code are provided to residents and their whānau, as confirmed in an interview with the CSM. Discussions relating to residents' rights and responsibilities take place formally (in staff meetings and training forums) and informally during daily care. Education is held by the Nationwide Health and Disability Advocacy Service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agreements signed by either the residents or enduring power of attorney (EPOA) were sighted in records sampled. Service agreements meet the district health board contract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procedures regarding resident safety, neglect, and abuse prevention. This includes definitions, signs and symptoms, and reporting requirements. Staff respect and allow residents to express their personal, gender, sexual, cultural, religious, and spiritual identity. Guidelines on spiritual care to residents were documented. The privacy policy references legislation. There was one documented incident of abuse reported and this was managed according to policy (refer standard 1.2.4). Whānau and residents interviewed expressed no concerns regarding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were observed maintaining privacy. Residents are supported to maintain their independence. Records sampled confirmed that each resident’s individual cultural, religious, and social needs, values, and beliefs had been identified, documented, and incorporated into their care plan. There is a contracted physiotherapist who visits the service once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Wiremu House acknowledges its responsibility in its current operations to Māori residents. The CSM confirmed that the service responds in accordance with the Treaty of Waitangi taking into consideration the Māori Health Strategy and the Māori Health Plan. Assessments and care plans will document any cultural and spiritual needs. Special consideration of cultural needs is provided in the event of death as described by staff. The required activities and blessings are conducted when and as required. Cultural staff training is incorporated into the staff annual in-service education calendar. Twenty-nine residents identified as Māori and there are 45 staff members of Māori descent. Policies and procedures regarding the recognition of Māori values and beliefs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following protocols/guidelines as recognised by the resident and their whānau. Values and beliefs are discussed and incorporated into the care plan. Whānau and residents confirmed they were encouraged to be involved in the development of the long-term care plans. Residents’ personal preferences and special needs were included in the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Whānau interviewed stated that residents were free from any type of discrimination, harassment, or exploitation and that they felt safe. Residents interviewed reiterated the same. 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The CSM stated that there has been one incident of abuse reported and no episodes of neglect, nor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diabetes nurse specialists, wound care specialists, mental health services for older persons, and education of staff. The NP confirmed the service sought prompt and appropriate medical intervention when required and was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and access their professional networks to support contemporary good practice. There is specific training and education to assist the staff to manage residents safely. The care staff have either level two, three, or four New Zealand Qualification Authority certificates. The CSM and one of the senior RNs are currently enrolled in a community nurse prescribing programme which will enable them to prescribe certain medicines upon completion. Ten staff in the dementia unit had completed the required dementia training. The activities programme evidenced good practice for residents assessed as requiring all levels of care provided by the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Whānau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are supported by policies and procedures. Personal, health, and medical information are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CSM reported that a variety of external resources, including support groups and interpreter/translation services, are accessed as required. The staff further reiterated that residents and relatives who are not conversant with the English language are advised of the availability of interpreter services at the first point of contact. There were no residents who required the services of an interpreter; however, the staff knew how to access interpreter services if required.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Wiremu House is part of the HLL group. The executive management team provide oversight and support to the facility. The business plan, which is reviewed annually, outlines the values and goals of the organisation. The documents describe annual and longer-term objectives and the associated operational plans necessary to achieve them. A sample of monthly reports showed adequate information to monitor performance is reported including clinical quality indicators, complaints, incidents/accidents, hazards, financial performance, emerging risks and issues (eg, infection control and pandemic planning).</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CHVM who holds relevant qualifications and has been in the role for 13 years. The CSM is responsible for oversight of clinical matters. The CSM has worked at Te Wiremu House for 15 years, the last 18 months as the CSM. The regional manager supports facility management. The CHVM and CSM maintain knowledge of the sector, regulatory and reporting requirements and maintain currency through regional meetings and engagement with the Tairawhiti District Health Board (TDHB).</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TDHB for aged-related residential care (ARRC), long-term chronic health conditions (under 65), dementia care (D3), respite, and dementia day care. On the day of audit there were 79 residents; 63 residents were receiving services under the ARRC contract, 14 under the dementia care contract, and two respite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CHVM is absent, the CSM carries out all the required duties under delegated authority. During absences of key clinical staff, the clinical management is overseen by an experienced senior RN who can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accidents, hazards, internal audit activities, complaints, a regular resident/whānau and staff satisfaction survey, and monitoring of outcomes of clinical issues including falls, infections, restraint and enabler use, pressure injury, wounds, and any health and safety issues (such as staff incidents). The facility has a health and safety representative who has undergone the required training to manage health and safety representation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staff, RN, and quality meetings. Relevant corrective actions are developed and implemented to address any shortfalls. Some staff interviewed said that they did not feel they had input into quality and risk management activities though others said that they did. Review of the staff, RN, and quality meetings showed that staff were able to provide feedback in those forums if they wished.</w:t>
            </w:r>
          </w:p>
          <w:p w:rsidR="00EB7645" w:rsidRPr="00BE00C7" w:rsidP="00BE00C7">
            <w:pPr>
              <w:pStyle w:val="OutcomeDescription"/>
              <w:spacing w:before="120" w:after="120"/>
              <w:rPr>
                <w:rFonts w:cs="Arial"/>
                <w:b w:val="0"/>
                <w:lang w:eastAsia="en-NZ"/>
              </w:rPr>
            </w:pPr>
            <w:r w:rsidRPr="00BE00C7">
              <w:rPr>
                <w:rFonts w:cs="Arial"/>
                <w:b w:val="0"/>
                <w:lang w:eastAsia="en-NZ"/>
              </w:rPr>
              <w:t>Resident/whānau satisfaction surveys are completed annually, the most recent one in 2021. The results from this survey showed the respondents were primarily positive about the service with most respondents scoring the service as “satisfied” or “very satisfied”. Results from the survey were benchmarked across all HLL sites. The ‘Net Promoter Score’ for Te Wiremu House was positive at 39 (benchmark expectation 20). A staff satisfaction survey from 2019 was also positive, results showing that staff were positive or very positive across nearly all criteria, particularly for engagement, values, leadership, and reduced work risk.</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Policies and procedures are distributed for staff who sign to indicate that they have read and understood the documents.</w:t>
            </w:r>
          </w:p>
          <w:p w:rsidR="00EB7645" w:rsidRPr="00BE00C7" w:rsidP="00BE00C7">
            <w:pPr>
              <w:pStyle w:val="OutcomeDescription"/>
              <w:spacing w:before="120" w:after="120"/>
              <w:rPr>
                <w:rFonts w:cs="Arial"/>
                <w:b w:val="0"/>
                <w:lang w:eastAsia="en-NZ"/>
              </w:rPr>
            </w:pPr>
            <w:r w:rsidRPr="00BE00C7">
              <w:rPr>
                <w:rFonts w:cs="Arial"/>
                <w:b w:val="0"/>
                <w:lang w:eastAsia="en-NZ"/>
              </w:rPr>
              <w:t>Both the CHVM and CSM described the processes for the identification, monitoring, review and reporting of risks, and development of mitigation strategies. The CHVM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reported to HLL support office, and benchmarked across other facilities within the group. Whānau interviews supported that any untoward events were disclosed to them in an open and honest manner.</w:t>
            </w:r>
          </w:p>
          <w:p w:rsidR="00EB7645" w:rsidRPr="00BE00C7" w:rsidP="00BE00C7">
            <w:pPr>
              <w:pStyle w:val="OutcomeDescription"/>
              <w:spacing w:before="120" w:after="120"/>
              <w:rPr>
                <w:rFonts w:cs="Arial"/>
                <w:b w:val="0"/>
                <w:lang w:eastAsia="en-NZ"/>
              </w:rPr>
            </w:pPr>
            <w:r w:rsidRPr="00BE00C7">
              <w:rPr>
                <w:rFonts w:cs="Arial"/>
                <w:b w:val="0"/>
                <w:lang w:eastAsia="en-NZ"/>
              </w:rPr>
              <w:t>Both the CHVM and the CSM described essential notification reporting requirements, including for pressure injuries. There have been 56 notifications of a significant event made to the Ministry of Health since the previous audit. Of these 24 related to resident behaviour, 11 for service interruption (including the 2021 earthquake and tsunami), nine for resident falls with injury, five for pressure injuries stage 3 or above, two for resident absconding, and one each for outbreak reporting (suspected respiratory syncytial virus (RSV) – not confirmed), theft, medication error, staff abuse of a resident and a stranger loitering on the property. The suspected RSV outbreak was reported to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There is a process in place to collect details of COVID-19 vaccination status and all staff are vaccinated.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Care staff working in the dementia care area have either completed or commenced a New Zealand Qualification Authority (NZQA) education programme to meet the requirements of the provider’s agreement with the DHB. An external education programme that meets NZQA qualification is available to all caregiving staff. The CSM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and the RNs on duty can extend short-shift hours based on resident acuity within their shift.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that they felt that staffing was insufficient to complete the work allocated to them. Residents and whānau interviewed reported that the staff were rushed at times. Observations of staff and resident movement on the days of audit showed that staff seemed to be moving in an unhurried manner and residents were up with completed cares within a reasonable timeframe. Review of a four-week roster cycle confirmed adequate staff cover has been provided, with staff replaced in any unplanned absence. The CHVM confirmed that the roster was covered for care and registered staff, but this required staff picking up extra shifts at times and cover from casual staff which was felt not to be ideal in the longer term. There are four vacancies for caregiving staff and three for RNs which are proving difficult to fill at the current time. The roster allows for 15 staff for a morning shift (three of which are RNs), ten staff on an afternoon shift (one of which is an RN and another a team leader), and five staff on night duty (one of whom is an RN). The CHVM reported that the afternoon RN cover will be augmented with a further RN staff member once an RN recruit has been sourced.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duty has a current first aid certificate (all RNs, nine caregivers, one cleaner, and two maintenance people are first aid certified) and there is 24 hour/seven days a week (24/7) RN coverage for hospital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register of all current and past residents is maintained. Resident individual information is kept electronically, and paper based. The resident’s name, date of birth, and National Health Index (NHI) number are used as the unique identifier on all residents’ information sighted. All necessary demographic, personal, clinical, and health information was fully completed in the residents’ files sampled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inquiries that are declined are maintained in a paper record. There was evidence that unsuccessful inquiries are referred to their referrer for alternative providers that may suit their needs. </w:t>
            </w:r>
          </w:p>
          <w:p w:rsidR="00EB7645" w:rsidRPr="00BE00C7" w:rsidP="00BE00C7">
            <w:pPr>
              <w:pStyle w:val="OutcomeDescription"/>
              <w:spacing w:before="120" w:after="120"/>
              <w:rPr>
                <w:rFonts w:cs="Arial"/>
                <w:b w:val="0"/>
                <w:lang w:eastAsia="en-NZ"/>
              </w:rPr>
            </w:pPr>
            <w:r w:rsidRPr="00BE00C7">
              <w:rPr>
                <w:rFonts w:cs="Arial"/>
                <w:b w:val="0"/>
                <w:lang w:eastAsia="en-NZ"/>
              </w:rPr>
              <w:t>Clinical notes were current and integrated with GP/NPs and allied health service provider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paper records are held securely on-site and are readily retrievable using a cataloguing system. The electronic records are backed up in the ‘Cloud-based’ system.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policy includes all the required aspects of the management of inquiries and entry. The admission pack contains all the information about entry to the service. Assessments and entry screening processes are documented and communicated to the whānau members of choice where appropriate, local communities, and referral agencies. Completed Needs Assessment and Service Coordination (NASC) authorisation forms for the dementia unit, rest home, and hospital level of care residents were sighted.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were admitted with consent from EPOAs and documents sighted verified that EPOAs consented to referrals to specialist services. Files sampled evidenced that all residents were assessed by specialists and confirmed the current level of care.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for ‘as required’ medications, allergies are indicated, and photos were current. Administration records are maintained, and drug incident forms are completed in the event of any drug errors. The medication and associated documentation are in place. Medication reconciliation is conducted by the RNs when a resident is transferred back to the service from the hospital or any external appointments. The RNs check medicines against the prescription and these were updated on the pharmacy delivery forms. The GP/NPs complete three monthly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expired or unwanted medicines and expired medicines are returned to the pharmacy promptly. Medications were stored safely and securely in the trollies and locked storerooms. Medication competencies were completed annually for all staff administering medication. The CSM reported that some medication-related audits are conducted. </w:t>
            </w:r>
          </w:p>
          <w:p w:rsidR="00EB7645" w:rsidRPr="00BE00C7" w:rsidP="00BE00C7">
            <w:pPr>
              <w:pStyle w:val="OutcomeDescription"/>
              <w:spacing w:before="120" w:after="120"/>
              <w:rPr>
                <w:rFonts w:cs="Arial"/>
                <w:b w:val="0"/>
                <w:lang w:eastAsia="en-NZ"/>
              </w:rPr>
            </w:pPr>
            <w:r w:rsidRPr="00BE00C7">
              <w:rPr>
                <w:rFonts w:cs="Arial"/>
                <w:b w:val="0"/>
                <w:lang w:eastAsia="en-NZ"/>
              </w:rPr>
              <w:t>The resident who was self-administering medication had a self-medication competency that was not reviewed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15 medication charts sampled evidenced inconsistent evaluation of the effectiveness of pro re nata (PRN) medicines administered. This included PRN medication prescribed for pain, sleeping, behavioural issues and elimination.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service complies with current food safety legislation and guidelines. The food service is managed by a chef who works Monday to Friday and the cook who covers weekends, all assisted by kitchen hands. There is an approved food control plan for the service which expires 18 September 2022. Meal services are prepared on-site and served in the respective dining areas. The menu was reviewed by the registered dietitian on 3 December 2021. The kitchen staff had current food handling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Food is transported in a hot cart box to the respective dining areas.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whānau interviewed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CSM reported that all potential residents who are declined entry are recorded and when entry is declined relatives are informed of the reason for this and made aware of other options or alternative services available. The person/whanau is referred to the referral agency to ensure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are completed within three weeks, according to policy. Assessments and care plans are detailed and included input from the resident and their whānau, and other health team members as appropriate. Additional assessments were completed according to the need (eg, behavioural, nutritional, continence, and skin and pressure risk assessments). The nursing team utilises standardised risk assessment tools on admission. In interviews conducted, whānau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findings and input from resident and/or whānau informs the care plan and assists in identifying the required support to meet residents’ goals and desired outcomes. The care plans sampled were resident-focused and individualised. Short-term care plans were used for short-term needs. Residents in the dementia unit had twenty-four-hour behaviour care plans in place. Behaviour management plans were implemented as required. Whānau and residents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and evidence of allied healthcare professionals involved in the care of the residents, such as the mental health services for older people, gerontology nurses, physiotherapists, district nurses, dietitians, GP, and NPs.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that interventions were adequate to address the identified needs of residents. Significant changes were reported in a timely manner and prescribed orders were carried out. The CSM reported that the GP/NPs medical input was sought within an appropriate timeframe, that medical orders were followed, and care was person-centred. This was further confirmed by the NP during the interview. Care staff confirmed that care was provided as outlined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conducted by the DT and an activities coordinator assistant. The activities are based on assessment and reflected the residents’ social, cultural, spiritual, physical, cognitive needs/abilities, past hobbies, interests, and enjoyments. Residents’ birthdays are celebrated. The chaplain, hairdresser, and physiotherapist are on-site weekly. A resident’s social profile is completed for each resident within two weeks of admission in consultation with the family. The activities staff formulate the activity programme. The activities are varied and appropriate for people living with dementia, rest home, hospital level of care, and those under 65 years of age. Residents’ activities care plans were evaluated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Twenty-four-hour behaviour care plans reflected residents’ preferred activities of choice and were evaluated every six months or as necessary. Activity progress notes and activity attendance checklists are completed daily. The residents were observed participating in a variety of activities on the audit days. The planned activities and community connections are suitable for the residents. There are regular outings/drives, for all residents (as appropriate). Whānau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documented on each shift by care staff in the progress notes.  All noted changes by the health care assistants are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following reassessment to measure the degree of a resident’s response in relation to desired outcomes and goals, occur every six months or sooner if residents’ needs change. The evaluations are carried out by the RNs in conjunction with whānau, residents, GP/NPs, and specialist service providers. Where progress is different from expected, the service responded by initiating changes 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reviewed weekly or as indicated by the degree of risk noted during the assessment process. Interviews verified residents and 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whānau are supported to access or seek a referral to other health and/or disability service providers. If the need for other non-urgent services is indicated or requested, the GP/NPs and the nursing team refer to specialist service providers and the DHB. Referrals are followed up regularly by the GP/NPs and nursing team. The resident and the family are kept informed of the referral process, as verified by documentation and interviews. Acute or urgent referrals are attended to, and the resident is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as necessary. An external company is contracted to supply and manage all chemicals and cleaning products and they also provide relevant training for staff. Domestic, kitchen and care staff have access to chemical training and management of chemicals. Material safety data sheets (MSDS) were available where chemicals are stored, and staff interviewed knew what to do should any chemical spill/event occur. Chemicals are correctly labelled and stored securely.</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 significant amount of personal protective clothing and equipment.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6 July 2022) is publicly displayed. All legislative requirements were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monitoring of hot water temperatures, and calibration of biomedical equipment is current as confirmed in documentation reviewed, interviews with the CHVM and maintenance person,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environment was hazard free and residents and staff were safe. Corridors are wide enough to accommodate residents, staff, and any equipment. Independence of residents is promoted at every opportunity. External areas are maintained and are appropriate to the resident groups and setting. The dementia unit garden area is secure. Where residents are transported in the facility vehicle, there are policies and procedures in place to minimise risk.</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and any requests are appropriately actioned. Residents and whānau interviewed reported that they are happy with the environment but noted that it is dated (refer Standard 1.4.5).</w:t>
            </w:r>
          </w:p>
          <w:p w:rsidR="00EB7645" w:rsidRPr="00BE00C7" w:rsidP="00BE00C7">
            <w:pPr>
              <w:pStyle w:val="OutcomeDescription"/>
              <w:spacing w:before="120" w:after="120"/>
              <w:rPr>
                <w:rFonts w:cs="Arial"/>
                <w:b w:val="0"/>
                <w:lang w:eastAsia="en-NZ"/>
              </w:rPr>
            </w:pPr>
            <w:r w:rsidRPr="00BE00C7">
              <w:rPr>
                <w:rFonts w:cs="Arial"/>
                <w:b w:val="0"/>
                <w:lang w:eastAsia="en-NZ"/>
              </w:rPr>
              <w:t>Resident and staff smoking/vaping is permitted at Te Wiremu House. This takes place in designated open spaces outside of the facility, away from windows and doors, and meets the requirements of the Smokefree Environments and Regulated Products Act 1990.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Within the facility there are 14 rooms with full ensuites and 39 with a toilet. The remainder use shared facilities. Shared facilities have ‘engaged’ indicators on the doors. All rooms have a handbasin available within the room. There is easy access to toilet facilities from communal areas. Appropriately secured and approved handrails are provided in the toilet/shower areas, and other equipment/accessories are available to promote residents’ independence. There are separate toilet facilities for staff and visitors.</w:t>
            </w:r>
          </w:p>
          <w:p w:rsidR="00EB7645" w:rsidRPr="00BE00C7" w:rsidP="00BE00C7">
            <w:pPr>
              <w:pStyle w:val="OutcomeDescription"/>
              <w:spacing w:before="120" w:after="120"/>
              <w:rPr>
                <w:rFonts w:cs="Arial"/>
                <w:b w:val="0"/>
                <w:lang w:eastAsia="en-NZ"/>
              </w:rPr>
            </w:pPr>
            <w:r w:rsidRPr="00BE00C7">
              <w:rPr>
                <w:rFonts w:cs="Arial"/>
                <w:b w:val="0"/>
                <w:lang w:eastAsia="en-NZ"/>
              </w:rPr>
              <w:t>Residents and whānau report that there are sufficient toilets and showers. Auditors observed residents being supported to access toilets and showers in ways that showed respect and maintenance of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in all the bedrooms to allow residents and staff to safely move around in the room. All bedrooms, except one which is a double, provide single accommodation and there was sufficient space in hospital level rooms for both the equipment, such as hoists or wheelchairs, and at least two staff and the resident. The residents sharing the double room requested that they be permitted to share. Rooms are personalised with furnishings, photos, and other personal possessions. Residents are encouraged to make the room their own and staff and residents reported the adequacy of room space.</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wheelchairs and mobility aids (including scooters) within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dining and social activities. The dining and lounge areas are spacious and enable easy access for residents and staff. Visitors and residents, including younger people (YPD), are able to access areas for privacy as required. Furniture is appropriate to the setting and arranged in a manner which allows residents to mobilise freely. </w:t>
            </w:r>
          </w:p>
          <w:p w:rsidR="00EB7645" w:rsidRPr="00BE00C7" w:rsidP="00BE00C7">
            <w:pPr>
              <w:pStyle w:val="OutcomeDescription"/>
              <w:spacing w:before="120" w:after="120"/>
              <w:rPr>
                <w:rFonts w:cs="Arial"/>
                <w:b w:val="0"/>
                <w:lang w:eastAsia="en-NZ"/>
              </w:rPr>
            </w:pPr>
            <w:r w:rsidRPr="00BE00C7">
              <w:rPr>
                <w:rFonts w:cs="Arial"/>
                <w:b w:val="0"/>
                <w:lang w:eastAsia="en-NZ"/>
              </w:rPr>
              <w:t>A refurbishment plan is in place for Te Wiremu House to upgrade the corridors and communal areas of the facility with painting, wallpaper, repair of woodwork, and carpeting (refer 1.4.2). The work is due to begin within the next few months (depending on any COVID-19 restrictions and contractor availability).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services are completed on site. The laundry is operated seven days per week. There are designated clean and dirty areas in the laundry with separate doors to take clean and dirty laundry in and out. Laundry staff return linen to residents’ rooms. The linen trolleys have baskets that are clearly labelled to identify resident’s individual laundry and general laundry. The laundry staff interviewed confirmed knowledge of their role including management of any infectious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cleaners on site during the day, seven days a week. The cleaners and laundry staff have lockable cupboards for chemicals and the cleaners are aware that the cleaning trolley must be with them at all times. Cleaners were observed on the days of the audit keeping the cleaning trolley in sight.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in appropriately labelled containers. Laundry and cleaning staff were aware of what they needed to do in an emergency and how to access material data safety sheets (MDSS). Laundry chemicals are administered through a closed system which is managed by a chemical contractor company who also educates laundry and cleaning staff on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Residents and whānau stated they were satisfied with the cleaning and laundry services and reported that laundry was returned in a timely manner. 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30 May 2016. A trial evacuation takes place six-monthly with a copy sent to the New Zealand Fire Service, the most recent being on 23 September 2021. The Te Wiremu House fire and emergency plan was approved by the Tairawhiti District Heath Board as meeting contract requirements on 23 December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blankets, torches, mobile phones, and gas barbecues were sighted and meet the requirements of residents. There is a generator on site and potable water storage tanks (30,000 litres) which are located outside the facility. Emergency lighting is regularly tested. Staff records sampled provided evidence of current training regarding fire, emergency, and security education.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that is used by the residents, whānau and staff members to summon assistance. All residents have access to a call bell, and these are checked monthly by the maintenance person. Residents and whānau confirmed that staff respond to calls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are locked at a predetermined time and there is a closed-circuit television and video (CCTV) system monitoring the front of the facility, including the car park, for added security. Whānau and residents know the process of alerting staff when in need of access to the facility after hours.</w:t>
            </w:r>
          </w:p>
          <w:p w:rsidR="00EB7645" w:rsidRPr="00BE00C7" w:rsidP="00BE00C7">
            <w:pPr>
              <w:pStyle w:val="OutcomeDescription"/>
              <w:spacing w:before="120" w:after="120"/>
              <w:rPr>
                <w:rFonts w:cs="Arial"/>
                <w:b w:val="0"/>
                <w:lang w:eastAsia="en-NZ"/>
              </w:rPr>
            </w:pPr>
            <w:r w:rsidRPr="00BE00C7">
              <w:rPr>
                <w:rFonts w:cs="Arial"/>
                <w:b w:val="0"/>
                <w:lang w:eastAsia="en-NZ"/>
              </w:rPr>
              <w:t>There is a visitors' policy and guidelines available to ensure resident safety and wellbeing is not compromised by visitors to the service. Visitors and contractors are required to sign in and out of visitors’ registers, wear masks within the facility and complete a COVID-19 screening questionnaire and temperature monitoring. Contact information is collected for tracing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There is access to outside garden spaces from communal areas with external doors that can be opened during the summer months to reduce heat within the facility and for air flow. Heating is provided through gas fuelled radiators with heat pumps in some areas. Areas were warm and well ventilated throughout the audit and residents and whānau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Wiremu House has a documented infection prevention and control programme that is reviewed annually. The review of the programme is completed by the RN who is the ICC in consultation with the CSM. A position description for the ICC was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 completed records were sighted in all files sampled.</w:t>
            </w:r>
          </w:p>
          <w:p w:rsidR="00EB7645" w:rsidRPr="00BE00C7" w:rsidP="00BE00C7">
            <w:pPr>
              <w:pStyle w:val="OutcomeDescription"/>
              <w:spacing w:before="120" w:after="120"/>
              <w:rPr>
                <w:rFonts w:cs="Arial"/>
                <w:b w:val="0"/>
                <w:lang w:eastAsia="en-NZ"/>
              </w:rPr>
            </w:pPr>
            <w:r w:rsidRPr="00BE00C7">
              <w:rPr>
                <w:rFonts w:cs="Arial"/>
                <w:b w:val="0"/>
                <w:lang w:eastAsia="en-NZ"/>
              </w:rPr>
              <w:t>There was a pandemic outbreak plan in place. Information and resources to support staff in managing COVID-19 were regularly updated. Visitor screening and residents’ temperature monitoring records depending on alert levels by the MOH were documented. There was a suspected respiratory syncytial virus (RSV) infection outbreak in July 2021 which was managed according to policy. There were no confirmed positive cases documented. An outbreak review document was produced to guide staff in managing the residents. The facility was closed to the public and this coincided with the COVID-19 national lockdown with GP, whānau, residents, and relevant authorities notified promptly. Documented evidence of staff and residents affected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designated person who is responsible for implementing the infection control programme. The ICC indicated there are adequate people, physical, and information resources to implement the programme. Infection control reports are completed monthly, and these are discussed at management and staff meetings. Staff confirmed that infections rates information is shared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ICC has access to residents’ infection control data collected within the organisation and reported that there are sufficient resources and systems to collect all the necessary information. Surveillance, internal audits, investigations, and corrective actions are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Specialist support can be accessed through the district health board, the medical laboratory, external consultants, and the attending GP/NPs.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practices. Policies and procedures are accessible and available for staff in all the nurses’ stations.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is provided on an ongoing basis (eg, during orientation, shifts handovers, staff meetings and in the annual in-service education programme). The in-service education is conducted by either the ICC, local laboratory, or other external consultants. Also, education is provided in form of ‘toolbox’ talks. Monthly infection audits were completed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The infection training includes handwashing procedures, donning and doffing protective equipment, and regular COVID-19 updates. Records of staff education were maintained. The RN completed an infection prevention and control training course provided by the organisation in January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The ICC collects infection surveillance data, analyses trends, monitors, reviews, and were possible implements corrective action plans to prevent recurrences. Results of the surveillance data are shared with staff during shift handovers, at monthly staff meetings, and management meetings. Evidence of completed infection control audits, monthly reports, and annual reports was sighted.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that they are informed of infection rates as they occur. The GP/NPs were informed on time when a resident had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(RC) provides support and oversight for enabler and restraint management in the facility and demonstrated a sound understanding of the organisation’s policies, procedures and practice and the role and responsibility required.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11 residents were using restraints and three residents were using enablers, which were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restraint documentation reviewed, and from interviews with the restraint coordinator and other staff. Restraints in use are limited to bed rails and pelvic belts.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RC, CSM, and other RNs, are responsible for the approval of the use of restraints and the restraint processes. It was evident from review of restraint approval group meeting minutes, resident documentation, and interviews with the coordinator that there are clear lines of accountability, that all restraints have been approved, and the overall use of restraints is being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whānau/EPOA involvement in the decision making was on file in each case. Use of a restraint or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RN undertakes the initial assessment with the RC’s involvement. Input in the decision making from the resident’s whānau/EPOA was documented in each case and whānau confirmed their involvement. The RC and RNs interviewed were able to describe the restraint process. The NP or the resident’s GP is involved in the final decision on the safety of the use of the restraint. The assessment process identifies the underlying cause, history of restraint use, cultural considerations, alternatives and associated risks. The desired outcome was to ensure the resident’s safety and security. Completed assessments were sighted in the records of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RC described how alternatives to restraints are discussed with staff and whānau (eg, the use of sensor mats and low beds). When restraints are in use, frequent monitoring occurs to ensure the resident remains safe. Records of monitoring had the necessary details. Access to advocacy is provided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each restraint approval group meeting.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with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after the first month of use and then evaluated every three months along with six monthly evaluations during care planning activities and interRAI reviews. Restraint is also reviewed and evaluated at the restraint approval group meetings. Whānau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the Standard, including future options to eliminate use, the impact and outcomes achieved, if the policy and procedure was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six-monthly review of all restraint use which includes all the requirements of this Standard. Six monthly restraint meetings and reports are completed, and individual use of restraint use is reported to the quality, RN, and staff meetings, and to the HLL support office. Minutes of meeting reviewed confirmed this and included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NP, GP, staff, whānau and any allied health professionals (eg, physiotherapists). A six-monthly internal audit that is carried out also informs these meetings. Any changes to policies, guidelines, education, and processes are implemented if indicated. Data reviewed, minutes and interviews confirmed that the use of restraint is actively minimised within the facility.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3"/>
        <w:gridCol w:w="1280"/>
        <w:gridCol w:w="6540"/>
        <w:gridCol w:w="1644"/>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and enrolled nurse (EN) were observed administering medications safely and correctly in the hospital and dementia wings respectively. The controlled drug register was current and correct. Weekly and six-monthly stock takes were conducted. Monitoring of the medicine fridge and room temperatures are conducted regularly and deviations from normal were reported and attended to promptly. </w:t>
            </w:r>
          </w:p>
          <w:p w:rsidR="00EB7645" w:rsidRPr="00BE00C7" w:rsidP="00BE00C7">
            <w:pPr>
              <w:pStyle w:val="OutcomeDescription"/>
              <w:spacing w:before="120" w:after="120"/>
              <w:rPr>
                <w:rFonts w:cs="Arial"/>
                <w:b w:val="0"/>
                <w:lang w:eastAsia="en-NZ"/>
              </w:rPr>
            </w:pPr>
            <w:r w:rsidRPr="00BE00C7">
              <w:rPr>
                <w:rFonts w:cs="Arial"/>
                <w:b w:val="0"/>
                <w:lang w:eastAsia="en-NZ"/>
              </w:rPr>
              <w:t>PRN medicines administered to residents, such as pain relief, laxatives, sleeping tablets, and those for behavioural issues, were not being documented for effectiveness in the electronic medication management system nor residents' progress notes. This was evidenced in 15 out of 18 medication charts sampled. The CSM and other RNs interviewed reported that this was an area that needed to be improved on and that measures to address this would be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Outcomes of PRN medicines administered in 15 out of 18 medication charts sampled were not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administered PRN medicines are evaluated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medications and medicines were stored appropriately in a locked cupboard. The resident confirmed that staff supply the medication packs in a timely manner and checks on every shift if they have taken their medications. These are marked as doses supplied in the electronic medication management system. The sighted competency for self-administering medicines was last reviewed on 9 August 2021. However, the organisation's policy on self-administering competency for residents states that competency is to be reviewed every three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who was self-administering medicines did not have their competency reviewed in a timely manner as per the organisation’s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self-medication administration procedures are completed as per the organisation’s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Te Wiremu House</w:t>
    </w:r>
    <w:bookmarkEnd w:id="58"/>
    <w:r>
      <w:rPr>
        <w:rFonts w:cs="Arial"/>
        <w:sz w:val="16"/>
        <w:szCs w:val="20"/>
      </w:rPr>
      <w:tab/>
      <w:t xml:space="preserve">Date of Audit: </w:t>
    </w:r>
    <w:bookmarkStart w:id="59" w:name="AuditStartDate1"/>
    <w:r>
      <w:rPr>
        <w:rFonts w:cs="Arial"/>
        <w:sz w:val="16"/>
        <w:szCs w:val="20"/>
      </w:rPr>
      <w:t>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