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Prasad Family Foundation Limited - Brylyn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Prasad Family Foundation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Brylyn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has reconfigured six rooms as dual-purpose double rooms increasing overall bed numbers to 41. While all beds are dual purpose, the service will only have up to 15 hospital residents at any one time.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Brylyn Residential Care is owned and operated by the Prasad Family Foundation Limited. The service provides cares for up to 41 residents requiring hospital and/or rest home level care. On the day of the audit, there were 31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a general practitioner.</w:t>
      </w:r>
    </w:p>
    <w:p w:rsidRPr="00A4268A">
      <w:pPr>
        <w:spacing w:before="240" w:line="276" w:lineRule="auto"/>
        <w:rPr>
          <w:rFonts w:eastAsia="Calibri"/>
        </w:rPr>
      </w:pPr>
      <w:r w:rsidRPr="00A4268A">
        <w:rPr>
          <w:rFonts w:eastAsia="Calibri"/>
        </w:rPr>
        <w:t>This audit also included verifying the suitability of six dual-purpose rooms (five studio units and one large resident room) as suitable to be used as double rooms.</w:t>
      </w:r>
    </w:p>
    <w:p w:rsidRPr="00A4268A">
      <w:pPr>
        <w:spacing w:before="240" w:line="276" w:lineRule="auto"/>
        <w:rPr>
          <w:rFonts w:eastAsia="Calibri"/>
        </w:rPr>
      </w:pPr>
      <w:r w:rsidRPr="00A4268A">
        <w:rPr>
          <w:rFonts w:eastAsia="Calibri"/>
        </w:rPr>
        <w:t>The service is overseen by a facility manager and a nurse manager (a registered nurse). They are supported by registered nurses who provide 24-hour on-site support for residents. Residents and family spoke positively about the service provided.</w:t>
      </w:r>
    </w:p>
    <w:p w:rsidRPr="00A4268A">
      <w:pPr>
        <w:spacing w:before="240" w:line="276" w:lineRule="auto"/>
        <w:rPr>
          <w:rFonts w:eastAsia="Calibri"/>
        </w:rPr>
      </w:pPr>
      <w:r w:rsidRPr="00A4268A">
        <w:rPr>
          <w:rFonts w:eastAsia="Calibri"/>
        </w:rPr>
        <w:t xml:space="preserve">Improvements identified at the audit are required to the following: care plan interventions, medication management and dietitian review of the resident menu.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Brylyn strives to ensure that care is provided in a way that focuses on the individual, values residents' autonomy and maintains their privacy and choice. Information about the Health and Disability Commissioner (HDC) Code of Health and Disability Services Consumers' Rights (the Code) is easily accessible to residents and families. Policies are implemented to support residents’ rights. Informed consent processes are followed, and residents' clinical files reviewed evidenced informed consent is obtained. Staff interviews informed a sound understanding of residents’ rights and their ability to make choices. Care plans accommodate the choices of residents and/or their family/whanau. Complaints and concerns are promptly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risk management and business plans include service philosophy, goals and are reviewed annually. The directors provide support and direction to the facility manager and nurse manager. Quality activities are conducted, and this generates improvements in practice and service delivery. Meetings are held to discuss quality and risk management processes. Resident/family meetings have been held six-monthly. Health and safety policies, systems and processes are implemented to manage risk. Incidents and accidents are reported and followed through. An education and training programme have been implemented with an on-site training plan. Appropriate employment processes are adhered to and all employees have an annual staff appraisal completed. There is a roster that provides sufficient and appropriate coverage for the effective delivery of care and support. Resident information is appropriately stored and managed.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plans residents' needs, outcomes, and goals with the resident and/or family/whānau input. Care plans demonstrated service integration and resident/relative input into care. </w:t>
      </w:r>
    </w:p>
    <w:p w:rsidRPr="00A4268A" w:rsidP="00621629">
      <w:pPr>
        <w:spacing w:before="240" w:line="276" w:lineRule="auto"/>
        <w:rPr>
          <w:rFonts w:eastAsia="Calibri"/>
        </w:rPr>
      </w:pPr>
      <w:r w:rsidRPr="00A4268A">
        <w:rPr>
          <w:rFonts w:eastAsia="Calibri"/>
        </w:rPr>
        <w:t xml:space="preserve">An activities coordinator oversees the activity programme for the residents. The programme meets the individual recreational, physical, and cognitive abilities. Community visitors and entertainers have been restricted during Covid outbreaks. Residents and relatives reported satisfaction with the activities programme.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and complete annual education and medication competencies. The medicine charts reviewed meet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There is a current food control plan. Resident dislikes, food allergies and dietary requirement are met. The residents interviewed commented very positively on the meals and snacks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are documented processes for the management of waste and hazardous substances in place. Residents can freely mobilise or be transported safely within the communal areas. There is safe access to the outdoors, seating, and shade. Resident bedrooms are spacious and personalised with ensuites or access to communal facilities. Cleaning and laundry services are completed on-site. Systems and supplies are in place for essential, emergency and security services. Six monthly fire drills are conducted. There is at least one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Brylyn residential care has restraint minimisation and safe practice policies and procedures in place. Staff receive training in restraint minimisation and challenging behaviour management. The service uses restraint as a last resort. On the day of audit, there were no residents with restraint and two residents with enablers.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policies are documented. A registered nurse is the infection control coordinator and has completed infection control training. Staff complete infection control education on orientation and ongoing as part of the annual planner. Surveillance of infections is documented, data discussed, and strategies put in place to improve infection control practice. The organisation has a low rate of infections. There is sufficient personal protective equipment available.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3"/>
        <w:gridCol w:w="1280"/>
        <w:gridCol w:w="98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staff (three healthcare assistants, one registered nurse (RN), one chef, one housekeeper, and one activities coordinator) confirmed their familiarity with the Code. Interviews with one hospital level care resident, two rest home residents and three family members (two rest home level of care and one hospital level of care) confirmed the services being provided are in line with the Code. Observation during the audit confirmed this in practice. Staff have received training on the Code of Health and Disability Services, Code of Rights and Employee Code of Conduct. All staff files reviewed included a signed copy of the Code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healthcare assistants and registered nurses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General consents are obtained on admission and included in the admission agreement. Specific consents were obtained for influenza and Covid vaccinations as sighted in the long-term files. Resuscitation status in all six files reviewed (four rest home including one resident under long-term stay-chronic health condition and one resident under the DHB rest and recuperation contract and two hospital level residents) had been signed appropriately by the competent resident or by the general practitioner if the resident was not deemed to be competent to make a resuscitation decision.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and choices for end of life were included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Relatives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signed admission agreements including a short-term admission agreement for the resident under the DHB rest and recuperation (R&amp;R)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entrance to the facility. This includes advocacy contact details. The information pack provided to residents at the time of entry to the service provides residents and family/whānau with advocacy information. Advocate support is available if requested. Interviews with staff, residents and relatives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 (subject to making an appointment during red level setting). There are normally visiting community groups however these were restricted at the time of audit due to the Covid red alert level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in an accessible and visible location. Information about the complaints process is provided on admission. Managers (one facility manager and one nurse manager) and care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Verbal and written complaints are documented and include any concerns identified in the resident/relative meetings and satisfaction surveys. Three complaints had been lodged in 2021, and none for 2022 (year-to-date). All complaints had a documented investigation and the outcome communicated to the complainant by letter or face-to-face meetings. Timeframes for addressing each complaint were compliant with the Health and Disability Commissioner (HDC) guidelines and corrective actions (when required) were documented. </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and corrective actions are discussed in the monthly staff/quality and management meetings. Interviews with residents and relatives confirmed that they feel comfortable in bringing up concerns with the RNs and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of rights on display throughout the facility and leaflets are available in the main entrance/reception. Information is also given to next of kin or enduring power of attorney (EPOA) to read with the resident and discuss. On entry to the service, the facility manager discusses the information pack with the resident and the family/whānau. The information pack includes a copy of the Code of Rights and advocacy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current Privacy Act and Health Information Privacy Code. The privacy officer (registered nurse) has completed online training for the updated privacy act. Staff were observed respecting resident’s privacy and could describe how they manage to maintain privacy and respect of personal property. All residents interviewed stated their needs were met and staff were very respectful and maintained their dignity at all times; this included the two couples occupying double rooms at the time of audit. They confirmed that staff always knock and wait until they are advised they can enter the room. Resident independence is encouraged and in line with the wishes of the consumer. Staff receive training around privacy and dignity and elder abuse and neglect as part of the two-yearly education plan. This is next due in October 2022.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Māori residents including a Māori health plan, Tikanga best practice guidelines, cultural protocols, and consultation with Māori representatives. Brylyn residential care has an established relationship with a local Māori charitable trust for advice and support when required. There were five residents who identified with Māori on the day of audit. Discussions with staff confirmed that they are aware of the need to respond to cultural differences (link to 1.1.6.2). Family/whānau involvement is encouraged in assessment and care planning and involvement is encouraged. Staff complete annual cultural awareness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The clinical documentation available has the capacity to gather information during assessment including residents’ cultural beliefs and values, in order to develop a care plan. However, four of five residents who identified as Māori had no documentation related to cultural preferences and practice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on cultural awareness and diversity and could describe how they communicate with residents of another culture. A policy describes spiritual care. Church services occurred regularly prior to Covid restrictions; however, these have temporarily been placed on hold during the Covid red alert level settings. All residents interviewed indicated that their spiritual needs were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has a staff code of conduct which states there will be zero tolerance against any discrimination occurring. Code of conduct and position descriptions outline staff responsibilities in terms of providing a discrimination free environment. The Code of Rights is included in orientation and in-service training. Training is provided as part of the staff training and education plan. Interviews with staff confirmed their understanding of discrimination and exploitation and could describe how professional boundaries are maintained. Discussions with residents identified that they are treated fairly without any discrimination.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interviewed spoke positively about the care and support provided. Staff interviewed had a sound understanding of principles of aged care and stated that they feel supported by the management team. The service encourages and promotes good practice through evidence-based policies, input from external specialist services and allied health professionals, for example, physiotherapist, hospice/palliative care team, district nurse, wound care specialist,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knocking on doors before entering a room, day to day discussions with residents and their families and staff interviewed being able to identify that they know the residents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(as appropriate) and family members stated they were welcomed on entry and given time and explanation about the services and procedures. Fourteen accident/incidents reviewed identified the relative had been notified. This was confirmed on interview with family members. Six-monthly resident/relative meetings are held to feedback/discuss services such as the food, activities, environment, and any care issues. Family newsletters are published monthly. There are portable phones, skype available on a laptop (residents book time slots) and Wi-Fi to encourage families and residents to maintain communication. There is access to interpreters as required and the service has a varied multicultural staff who can communicate in many languages.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Brylyn residential care is owned and operated by the Prasad Family Foundation Trust. The service provides hospital (geriatric and medical), and rest home level care for up to 41 residents. All beds are dual purpose with the service originally only able to have up to ten residents requiring hospital level of care at any given time. This audit included verifying the reconfiguration of beds (HealthCERT letter dated 10 December 2021) which the service has been able to utilise without a partial provisional audit. This reconfiguration verified six resident rooms (five studio rooms and one large resident room) as suitable as dual-purpose double rooms. With the reconfiguration the service has been verified as suitable to have up to 15 hospital residents at any given time.  With the increase in double rooms verified, there is a total of nine double rooms at Brylyn.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31 residents in total. There were nine hospital level residents, and 22 rest home level residents including one LTS-CHC and three short-term respites. Two of the respite residents were funded under the DHB rest and recuperation (R&amp;R) and one was rest home carer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and a quality and risk management plan are in place. The business plan identifies scope, direction, and goals of the service. There are two directors who maintain at least weekly contact with the facility manager and nurse manager. Brylyn has a current business plan that identifies annual goals and measures such as community engagement and increased occupancy, ongoing refurbishments, and for the facility to remain restraint free.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at Brylyn for two years and has over twelve years of experience in rest home administration. She is supported by a nurse manager (registered nurse) and directors. The facility manager reports to the directors on a variety of operational issues. The directors visit the site regularly and maintain telephone and email contact at other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in excess of eight hours of professional development in the past 12 months including courses on managing people, enduring powers of attorney, nutrition and time management. The facility has a stable workforce and extremely low turnover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nurse manager is in charge, with support from the directors, the registered nurses and healthcare assistants.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has a documented quality management system. There are documented policies and procedures to guide staff which have been formulated by an external consultant. 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and policies are regularly reviewed and updated. New policies or changes to policy are communicated to staff in the staff meetings. Staff have access to the current manuals. The facility manager and nurse manager both understand the quality and risk management programme. An internal audit schedule is in place and all scheduled audits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adverse events, incidents/accidents, infections, restraint, medications, concerns/complaints, and internal audit outcomes. Staff interviewed confirmed they are kept informed on quality data, trends and correctives actions at the monthly combined staff/quality/health and safety meetings. Meeting minutes are made available to staff. Clinical meetings are held monthly for the registered nurses and all scheduled site meetings have been held as per meeting schedule for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surveys are completed, and the results fed back to participant through newsletters and resident/relative meetings. The 2021 results show an improvement in the standard of cleaning from 2020 and a slight decline in food satisfaction. A corrective action was completed and feedback to survey participants given. Results of surveys are relayed during the six-monthly resident/family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The residential care officer (activities) is the designated health and safety representative and has completed formal training in hazard identification and management. An interview with the health and safety representative and review of health and safety documentation confirmed that legislative requirements are being upheld. External contractors and all new staff have been orientated to the facility’s health and safety programme including Covid 19 preparedness requirements. All new staff complete a health and safety induction including emergency situations, fire safety and safe moving and handling. Hazard identification forms are implemented. There is a current hazard register in place. All contractors complete an induction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collected and analysed for trends. Fourteen resident related incident reports for December 2021 were reviewed. All reports evidenced that family had been notified and appropriate clinical care was provided following an incident, including neurological observations for all unwitnessed falls. Documentation including care plan interventions for prevention of incidents, was fully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facility manager and/or the nurse manager investigates accidents and near misses and analysis of incident trends occurs. There is a discussion of incidents/accidents at staff/quality/health and safety, clinical meetings, and handovers, including actions to minimise recurrence. Staff interviewed confirmed incident and accident data are discussed and information is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management confirmed an awareness of the requirement to notify relevant authorities in relation to essential notifications. There have been two Section 31 notifications since the previous audit consisting of three pressure injuries in February, October, and December 2021 (one facility acquired unstageable, one community acquired unstageable, and one facility acquired stage 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including relevant checks to validate the individual’s qualifications, experience, and veracity. Five staff files (one nurse manager, one RN, one healthcare assistant, one cleaner and one chef) reviewed, contained all relevant employment documentation and job descriptions. Current practising certificates were sighted for the RNs, and allied health professionals. All staff signed a code of conduct which contains elements covering confidentiality and the correct use of information technology. Performance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staff education calendar with on-site clinical in-services and opportunities to attend external education offered. Staff individual records of training are maintained. Staff complete competencies relevant to their role including restraint minimisation, medication, hand hygiene and safe manual handling. There are ten HCAs, six of which have achieved level 4, and three are working on level 3 currently. All five RNs plus the nurse manager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have the opportunity to attend aged care related study days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staffing policy that outlines on call requirements, skill mix, staffing ratios and rostering for the facility. The facility manager and nurse manager work fulltime Monday to Friday and are on call 24/7. They are supported by the directors and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registered nurse on each shift and two healthcare assistants on the morning (07.00-15.00) and afternoon shifts (one 15.00-22.00 and one 15.00-23.00). Overnight there is a registered nurse and a healthcare assistant (23.00-07.00). Staff stated that there are sufficient staff for the number and acuity of residents. This was confirmed by the nurse manager with observations of the service confirming that there were sufficient staff in the morning and afternoon for resident needs to be met. </w:t>
            </w:r>
          </w:p>
          <w:p w:rsidR="00EB7645" w:rsidRPr="00BE00C7" w:rsidP="00BE00C7">
            <w:pPr>
              <w:pStyle w:val="OutcomeDescription"/>
              <w:spacing w:before="120" w:after="120"/>
              <w:rPr>
                <w:rFonts w:cs="Arial"/>
                <w:b w:val="0"/>
                <w:lang w:eastAsia="en-NZ"/>
              </w:rPr>
            </w:pPr>
            <w:r w:rsidRPr="00BE00C7">
              <w:rPr>
                <w:rFonts w:cs="Arial"/>
                <w:b w:val="0"/>
                <w:lang w:eastAsia="en-NZ"/>
              </w:rPr>
              <w:t>There are 23 staff employed in the service including the nurse manager, an activities coordinator, five registered nurses, and ten healthcare assistants. Household staff are employed with healthcare assistants completing laundry tasks. The rosters reviewed confirmed that staff are replaced when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after-hours calls. There is adequate staff to provide services for the potential increase in residents (up to 41).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into service, establishing the level of care needed. Entry into the service is facilitated in a competent, timely and respectful manner. Pre-admission information is provided for families and residents prior to or on admission. Admission agreements reviewed had been signed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family to ensure continuity of care. There are documented policies and procedures to ensure exit, discharge or transfer of residents is undertaken in a timely and safe manner. Copies of documentation and handover is kept on file. The service uses the DHB yellow envelope transfer documentation (as observed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legislation and guidelines. All registered nurses administer medications and have current medication competencies on file. Level 4 HCAs complete medication competencies. Regular medications are delivered in robotics packs from the pharmacy and all medications are were stored safely in the medication room. Medications are checked against the electronic medication chart on arrival and there is a documented record of medication reconciliation. As required medication and impress stock are checked regularly for stock levels and expiry dates. There was one resident self-medicating inhalers on the day of audit however there had not been any three monthly self-medicating reviews completed. Eyedrops had been dated on opening. The medication fridge and room air temperatures were documented as checked daily and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Eleven electronic medication charts and one paper-based medication chart (for the R&amp;R resident) were reviewed. An electronic medication system is utilised. Medication charts had photo identification and allergy status noted. The GP has reviewed the medication charts three monthly. ‘As required’ (PRN) medication had indications documented. The effectiveness of PRN medication was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by a qualified chef (Sunday to Thursday) and a qualified cook (Friday and Saturday). They work at 7am to 5.30pm and are supported by a morning kitchenhand from 7-11am. Food services staff have completed food safety training. The kitchen is adjacent to the dining room and meals are served directly to the residents in the dining room and resident rooms. There is a four-week seasonal menu in place. Resident likes and preferences are considered in the menu plan however there has not been a dietitian review within the last two years. The chef (interviewed) receives a nutritional profile for each resident and accommodates dislikes, food allergies, spiritual and cultural dietary requirements. Dietary requirements include soft/pureed and vegetarian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which expires January 2023. All food is stored safely and dated. Fridge, freezer and end cooked temperatures are monitored and recorded daily. Inward chilled goods are temperature checked on delivery and recorded. A kitchen cleaning schedule is in place and implemented. The chef receives feedback on meals directly at mealtimes and through resident meetings. Residents interviewed were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care required or there are no beds available. Management communicates directly with the referring agencies and family/whānau as appropriate should they decline an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initial assessment on admission including risk assessments such as falls, pressure injury risk, nutritional and pain assessments as relevant. The outcomes of the assessments, medical information, discharge summaries and information from significant others is used to develop the initial care plan. An interRAI and other relevant assessments are undertaken at three weeks to evaluate the resident needs and develop a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long-term care plans reviewed, overall were resident-focused and cover all areas of daily activities of living, medical health, mobility, nutrition, pain, mood and behaviour, spiritual, cultural, and recreational needs. Acute care plans were used for short-term needs.  The acute care plans reviewed had been reviewed at three weeks, and ongoing concerns were transferred to the long-term care plan, however, not all current interventions were documented.  Care plans evidenced resident (as appropriate) and family/whānau involvement in the care plan process. Resident files demonstrated service integration and evidence of allied healthcare professionals involved in the care of the resident such as the podiatrist, dental service, physiotherapist, and cardiologist.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NP, or nurse specialist consultation. There is documented evidence of family members being notified of any changes to their relative’s health status, incidents, infections, GP visits, appointments, and updates. Discussions with families confirmed they are notified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medication room. The paper-based wound care file was reviewed. Wound assessments, wound monitoring, treatment/dressing plans, photos and evaluations were in place for all current wounds (three wounds, one surgical wound and two facility acquired pressure injuries). One hospital resident had two pressure injuries (one stage 3 of the right outer foot and one stage 1 of the sacrum). Accident/incident forms had been completed and a section 31 for the stage 3 pressure injury. Short term care plans for the pressure injuries were in place. Interventions included an air alternating mattress in place, repositioning two hourly, high protein diet and adequate hydration. The RN interviewed was able to describe the referral process for a wound care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a resident’s progress towards meeting goals and include vital observations, daily task sheets (hygiene and grooming), pain, behaviour, bowel records, turning harts, food and fluid intake, weight, blood sugar levels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(residential care officer) implements the activities programme from 9.30 am to 2.30 pm, Monday to Friday. She has been in the role over three years and is a level 4 HCA with a current first aid certificate. An integrated activities programme is provided for rest home and hospital residents with group and individual activities. One on one time is spent with those who are unable to participate in group activities or prefer to stay their rooms. The activity programme is displayed. The programme is flexible to meet resident recreational preferences. Care staff coordinate weekend activities and there are plenty of resources available on the activity trolley and in the cupboard including board games and crafts. A variety of exercises is held daily during the week. Other activities include board games, quizzes, music and sing-a-longs, garden walks, manicures and massages, foot spas, happy hours, and movies. Resident led activities include quizzes and bingo calling. Entertainment, pet therapy, church services and community outings have been on hold during covid restrictions. The service hire vans (including a wheelchair van) for outings fortnightly. The van driver has a first aid certificate and residents are accompanied by the residential care officer and HCA.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history and assessment are completed for residents soon after admission. Recreational preferences are documented in the long-term care plan and each resident has an individual activity plan. Attendance records are maintained. The activity care plan is evaluated at the same time as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feedback through resident meetings and directly through discussions. Residents and family interviewed expressed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are evaluated at three weeks and long-term care plans are evaluated six monthly or earlier due to changes in health. A written evaluation is completed against all the care plan categories and identify if the resident goals have been met or unmet. The care plan is updated with any changes and links to the six monthly interRAI assessment. The resident (as appropriate) and/or the relative is involved in the care plan evaluation as evidenced by signature on the care plan. The GP reviews the residents at least three monthly or earlier if required. The multidisciplinary review team includes the RN, nurse manager, HCAs, residential care officer and the resident/relative and any other allied health professional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Physiotherapist, cardiologist, neurologist, and dermatologist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to ensure incidents are reported in a timely manner. Safety datasheets are available for staff in the laundry/cleaner’s room. Chemical bottles sighted have manufacturer labels. Chemicals are kept in a locked cupboard within the laundry. The laundry is accessed by keypad entry. There is one sluice room within the facility and one sluice area within the laundry. There were gloves, visor, and aprons readily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seen to be wearing appropriate personal protective clothing while carrying out their duties. Staff have completed chemical safety training with the chemical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September 2022. The service employs a part-time maintenance person (retired handyman) that works 40 hours per fortnight. A maintenance request book (sighted) is completed for maintenance requests and signed-off as addressed. There is a planned maintenance plan (daily, weekly, monthly, quarterly, and annually) that is overseen by the manager. Essential contractors are available 24 hours. Electrical equipment including resident related equipment has been tested and tagged. Clinical equipment such as chair scales and oxygen concentrators have been checked and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is randomly checked in resident rooms on a monthly basis. Corrective actions and hot water re-checks were recorded maintaining temperatures less than 45 degrees Celsius. The hot water cylinder has been replaced. There have been many upgrades in shower rooms, flooring in resident rooms and communal areas, furnishings and equipment replaced.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corridors have wide enough space for residents to safely mobilise using mobility aids or in lazy boy chairs, with the assistance of staff.</w:t>
            </w:r>
          </w:p>
          <w:p w:rsidR="00EB7645" w:rsidRPr="00BE00C7" w:rsidP="00BE00C7">
            <w:pPr>
              <w:pStyle w:val="OutcomeDescription"/>
              <w:spacing w:before="120" w:after="120"/>
              <w:rPr>
                <w:rFonts w:cs="Arial"/>
                <w:b w:val="0"/>
                <w:lang w:eastAsia="en-NZ"/>
              </w:rPr>
            </w:pPr>
            <w:r w:rsidRPr="00BE00C7">
              <w:rPr>
                <w:rFonts w:cs="Arial"/>
                <w:b w:val="0"/>
                <w:lang w:eastAsia="en-NZ"/>
              </w:rPr>
              <w:t>Six resident rooms (five studio rooms and one large resident room) were assessed as suitable double rooms for rest home or hospital level of care at this audit. The rooms and studio ensuites were spacious enough to manoeuvre a hoist and other mobility equipment safely to provide the assessed level of care. There were two call bells in each of the rooms assessed as double rooms. The number of available beds has increased from 35 to 41. These rooms are only used for couples.  With the increase in double rooms verified, there is a total of nine double rooms at Brylyn.</w:t>
            </w:r>
          </w:p>
          <w:p w:rsidR="00EB7645" w:rsidRPr="00BE00C7" w:rsidP="00BE00C7">
            <w:pPr>
              <w:pStyle w:val="OutcomeDescription"/>
              <w:spacing w:before="120" w:after="120"/>
              <w:rPr>
                <w:rFonts w:cs="Arial"/>
                <w:b w:val="0"/>
                <w:lang w:eastAsia="en-NZ"/>
              </w:rPr>
            </w:pPr>
            <w:r w:rsidRPr="00BE00C7">
              <w:rPr>
                <w:rFonts w:cs="Arial"/>
                <w:b w:val="0"/>
                <w:lang w:eastAsia="en-NZ"/>
              </w:rPr>
              <w:t>There is safe access to the outdoor areas with rails and ramps in place. Seating and shade are provided. There have been repairs to external pathways. The service employs a gardener 2.5 hours on Mondays and Thursdays. The lawn and gardens were well maintained and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 and shower facilities are of an appropriate design to meet the needs of the residents. Some resident rooms including the studio rooms, have ensuites. There are adequate numbers of communal toilets and shower rooms including one large enough for the use of a shower trolley. There is also a tilting shower chair available. Communal toilet facilities are clearly identified and have a system that indicates if it is engaged or vacant. Shower rooms have privacy curtains.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were spacious. There were three double studio rooms and 21 single rooms. Another five studio rooms and one large resident room were assessed as suitable for double rooms. Privacy curtains can be installed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safely manoeuvre mobility aids and transferring equipment such as hoists in the resident bedrooms. The nurse manager and healthcare assistants verbalised they have enough space to deliver resident cares. Residents and families are encouraged to personalise their rooms. This was evident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separate dining room, which is partitioned to provide privacy for dependent residents, a main lounge and smaller family lounge. Seating and space are arranged to allow both individual and group activities to occur. All communal internal areas are easily accessible for residents and is well utilised. There is sufficient space in the communal areas for the potential increase in residents. There is safe ramp access to the outdoor gardens and grounds. There is a designated smoker shed.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seven days a week from 9am to 2.30pm. The cleaner’s trolley (sighted) was well equipped. The cleaner (interviewed) was wearing appropriate personal protective clothing. The trolley is kept in the locked laundry when not in use. There is a day/night cleaning schedule caried out by HCAs that includes some communal areas. Cleaners have completed infection control training including donning and doffing of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and linen are shared by healthcare assistants and the facility cleaner. There are commercial auto feed washing machines and dryers. The laundry has a defined clean/dirty area. There is a clean folding area. There is an external door for ventilation. Safety data sheets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scheme is in place that has been approved by the New Zealand Fire Service. There are emergency management plans in place to ensure health, civil defence and other emergencies are included. Six monthly fire drills are completed, with the most recent being held on 15 September 2021. Emergency equipment is available at the facility including fire hoses, fire blankets and extinguishers, all of which had valid fire check dates. This is done by a contracted service provider. Fire training and security situations are part of orientation of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in the event of a civil defence emergency including food, water, blankets, and gas cooking. A warden’s vest, list of residents and a fire checklist is available at reception in case of an emergency. Floor plans are visible on the wall in the foyer. Short-term back-up power for emergency lighting is in place. There is a staff member on duty across 24/7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When a resident pushes the call bell, staff are made aware of who needs assistance through the call bell system. The facility is secure at night, and checks are performed.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opening windows for ventilation. Heat pumps and air conditioning units are used in communal areas. There is underfloor heating which is centrally adjusted. There are ceiling fans in communal areas. All bedrooms have good sized windows which allows plenty of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are appropriate for the size, complexity and degree of risk associated with the service. An RN is the infection coordinator with a job description that outlines the role of the responsibility. The infection control coordinator provides infection control reports to the monthly staff meeting and they monitor the number of infections through the surveillance programme. The infection control programme is reviewed annually in consultation with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visiting restrictions in place. Relatives make appointments to visit and Covid screening (including temperature) is completed on entry to the facility. There are sufficient hand sanitisers and masks placed throughout the facility. Residents and staff are offered the influenza and Covid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Brylyn rest home and hospital. The infection control coordinator has completed education in relation to infection control and pandemic planning in the last year through DHB on-line training and Covid on-line training. External resources and support are available through the DHB aged care nurse specialist and portfolio manager. A DHB site visit assessed the services preparedness for an outbreak and DHB personnel are readily available advice and support. The infection control coordinator also describes accessing advice from the general practitioner as required. There is sufficient personal protective equipment available. There is an individual kit for each staff member with a fitted mask. The infection control team (HCAs and nurse manager) meet as required for example the annual review of the infection programme; all infection control matters are discussed at the monthly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The policies reflect current best practice and are reviewed by an external consultant. There is a Covid outbreak management resource folder.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standard precautions and a hand hygiene competency is completed, as sighted in staff files reviewed. Infection control training has been ongoing with refreshers each staff meeting. Staff have been kept well informed on Covid restrictions and alert levels/traffic light system and restrictions at each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 they have been kept well inform on Covid restrictions and requirements. Education occurs as part of the resident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Standard definitions are used for determining infection events. The infection control coordinator collates infection control events monthly and the data is analysed for trends and opportunities for improvement and training opportunities. There is discussion around infection control data at the monthly staff meetings. Individual infection reports, and acute care plans are completed for all infections as sighted in resident files reviewed. Infections reported meet the standard definitions for infections including urinary tract, chest, skin, wound, eye, ear, and nose. </w:t>
            </w:r>
          </w:p>
          <w:p w:rsidR="00EB7645" w:rsidRPr="00BE00C7" w:rsidP="00BE00C7">
            <w:pPr>
              <w:pStyle w:val="OutcomeDescription"/>
              <w:spacing w:before="120" w:after="120"/>
              <w:rPr>
                <w:rFonts w:cs="Arial"/>
                <w:b w:val="0"/>
                <w:lang w:eastAsia="en-NZ"/>
              </w:rPr>
            </w:pPr>
            <w:r w:rsidRPr="00BE00C7">
              <w:rPr>
                <w:rFonts w:cs="Arial"/>
                <w:b w:val="0"/>
                <w:lang w:eastAsia="en-NZ"/>
              </w:rPr>
              <w:t>There have not been any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The nurse manager is the restraint coordinator. On the day of the audit there were no residents with restraints in use and two residents with lap belts used as enablers while up in wheelchairs. Enabler use is voluntary. All necessary documentation had been completed in relation to the enablers, including assessments, consents, and reviews.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6"/>
        <w:gridCol w:w="1280"/>
        <w:gridCol w:w="4594"/>
        <w:gridCol w:w="2960"/>
        <w:gridCol w:w="2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rest home resident self-medicating an inhaler. An initial self-medication assessment had been completed however there had not been any three-monthly self-medicating reviews since the initial assessment over a year ago.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three-monthly reviews for one self-medicating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are three-monthly self-medication competency assessments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feedback is sought directly and through resident meetings on the meals provided. The four weekly menus sighted includes changes to meet resident preferences. Residents interviewed were very happy with the menu changes however the changes have not been reviewed by a dietitian.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since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menu changes are reviewed by a dietitian.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Acute care plans are used to document interventions to manage short-term changes in health. There were no interventions documented/implemented for three rest home residents with changes to health status, and not all cultural details, preferences and practices were being captured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no interventions documented for one resident who had been seen by the GP for dental issues resulting in a dental referral and soft diet.</w:t>
            </w:r>
          </w:p>
          <w:p w:rsidR="00EB7645" w:rsidRPr="00BE00C7" w:rsidP="00BE00C7">
            <w:pPr>
              <w:pStyle w:val="OutcomeDescription"/>
              <w:spacing w:before="120" w:after="120"/>
              <w:rPr>
                <w:rFonts w:cs="Arial"/>
                <w:b w:val="0"/>
                <w:lang w:eastAsia="en-NZ"/>
              </w:rPr>
            </w:pPr>
            <w:r w:rsidRPr="00BE00C7">
              <w:rPr>
                <w:rFonts w:cs="Arial"/>
                <w:b w:val="0"/>
                <w:lang w:eastAsia="en-NZ"/>
              </w:rPr>
              <w:t>ii). There were no interventions implemented for one resident on dietary supplements with continuing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were no documented signs, symptoms, treatment, or management for hypoglycaemia/hypoglycaemia for one insulin dependent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Four of five residents who identified as Māori did not have cultural details, preferences and practices documented in their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that interventions are implemented/documented to meet needs/supports for residents with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cultural assessments and care plans accurately document cultural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Prasad Family Foundation Limited - Brylyn Residential Care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