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Greenwoods House Limited - Epsom South Retirement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Greenwoods House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Epsom South Retirement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February 2022</w:t>
      </w:r>
      <w:bookmarkEnd w:id="7"/>
      <w:r w:rsidRPr="009418D4">
        <w:rPr>
          <w:rFonts w:cs="Arial"/>
        </w:rPr>
        <w:tab/>
        <w:t xml:space="preserve">End date: </w:t>
      </w:r>
      <w:bookmarkStart w:id="8" w:name="AuditEndDate"/>
      <w:r w:rsidR="00A4268A">
        <w:rPr>
          <w:rFonts w:cs="Arial"/>
        </w:rPr>
        <w:t>16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None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Epsom South Retirement Home (referred to as Epsom South) is privately owned and operated. The rest home provides rest home level of care for up to 27 residents. On the day of the audit there were 20 residents.</w:t>
      </w:r>
    </w:p>
    <w:p w:rsidRPr="00A4268A">
      <w:pPr>
        <w:spacing w:before="240" w:line="276" w:lineRule="auto"/>
        <w:rPr>
          <w:rFonts w:eastAsia="Calibri"/>
        </w:rPr>
      </w:pPr>
      <w:r w:rsidRPr="00A4268A">
        <w:rPr>
          <w:rFonts w:eastAsia="Calibri"/>
        </w:rPr>
        <w:t xml:space="preserve">This certification audit was conducted against the relevant Health and Disability Services Standards and the contract with the district health board. The audit process included a review of policies and procedures, the review of residents and staff files, observations and interviews with residents, staff, management, and general practitioner. </w:t>
      </w:r>
    </w:p>
    <w:p w:rsidRPr="00A4268A">
      <w:pPr>
        <w:spacing w:before="240" w:line="276" w:lineRule="auto"/>
        <w:rPr>
          <w:rFonts w:eastAsia="Calibri"/>
        </w:rPr>
      </w:pPr>
      <w:r w:rsidRPr="00A4268A">
        <w:rPr>
          <w:rFonts w:eastAsia="Calibri"/>
        </w:rPr>
        <w:t xml:space="preserve">There is a business &amp; care manager appointed to oversee the facility with a registered nurse on site 20 to 25 hours a week. One of the directors is also a registered nurse with extensive experience in aged care who is able to support when required. Residents and family were very happy with the service provided. </w:t>
      </w:r>
    </w:p>
    <w:p w:rsidRPr="00A4268A">
      <w:pPr>
        <w:spacing w:before="240" w:line="276" w:lineRule="auto"/>
        <w:rPr>
          <w:rFonts w:eastAsia="Calibri"/>
        </w:rPr>
      </w:pPr>
      <w:r w:rsidRPr="00A4268A">
        <w:rPr>
          <w:rFonts w:eastAsia="Calibri"/>
        </w:rPr>
        <w:t xml:space="preserve">There are two shortfalls identified around resolution of issues when identified, and medication management.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staff at Epsom South Retirement Home ensure that care is provided in a way that focuses on the individual, values residents' autonomy and maintains their privacy and choice. There is a documented Maori health plan to acknowledge the principles of the Treaty of Waitangi. The service functions in a way that complies with the Health and Disability Commissioner (HDC) Code of Health and Disability Services Consumers' Rights (the Code). Discussions with families identified that they are fully informed of changes in their family member’s health status. Information about the Code and advocacy services is easily accessible to residents and families. Staff interviewed are familiar with processes to ensure informed consent. Complaint’s policies and procedures meet requirements and residents, and families are aware of the complaints process.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Epsom South Retirement Home is one of four facilities owned by MA Healthcare Ltd. The business and care manager has been managing the facility since June 2021 and is supported by an assistant manager, and the clinical lead (registered nurse). There is a 2022 business plan in place. Regular audits take place as scheduled in the annual quality plan. There is a risk management programme, which includes incident and accident reporting and health and safety processes. </w:t>
      </w:r>
    </w:p>
    <w:p w:rsidRPr="00A4268A">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an orientation programme that provides new staff with relevant information for safe work practice. Rosters and interviews indicate sufficient staff who are appropriately skilled, with flexibility of staffing around residents’ need. There is ongoing training provided as per the annual developed training plan.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An admission package is provided to family and residents prior to or on entry to the service. The registered nurse and the business and care manager along with staff rostered on are responsible for each stage of service provision. The registered nurses is responsible for assessment, care planning, and evaluation of care with the resident and/or family input.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The activity programme is developed to promote resident independence, involvement, emotional wellbeing, and social interaction appropriate to the level of physical and cognitive abilities of the rest home residents. </w:t>
      </w:r>
    </w:p>
    <w:p w:rsidRPr="00A4268A" w:rsidP="00621629">
      <w:pPr>
        <w:spacing w:before="240" w:line="276" w:lineRule="auto"/>
        <w:rPr>
          <w:rFonts w:eastAsia="Calibri"/>
        </w:rPr>
      </w:pPr>
      <w:r w:rsidRPr="00A4268A">
        <w:rPr>
          <w:rFonts w:eastAsia="Calibri"/>
        </w:rPr>
        <w:t xml:space="preserve">Medication policies are documented. Medication competent caregivers are responsible for administration of medicines and complete annual education and medication competencies. The electronic medicine charts were reviewed at least three-monthly by the general practitioner.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There is dietitian review of the menu. Residents commented very positively on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and product safety charts are available. The building holds a current warrant of fitness. External areas are safe with shade and seating available. Fixtures, fittings, and flooring are appropriate and toilet/shower facilities are constructed for ease of cleaning. Cleaning and laundry services are monitored through the internal auditing system. Systems and supplies are in place for essential, emergency and security services. Areas within the facility have been refurbished since the last audit.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does not use restraint and there were no enablers used during the audit. Staff receive training around management of challenging behaviour at least annually.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include policies, standards, and procedures to guide staff. The infection control programme and its content and detail are appropriate for the size, complexity and degree of risk associated with the service. The clinical lead (registered nurse) is the infection control coordinator and is responsible for coordinating/providing education and training for staff. The infection control coordinator collates data obtained through surveillance to determine infection control activities, resources and education needs within the facility. A monthly infection control report is completed. There have been no outbreaks since the last audit. </w:t>
      </w:r>
    </w:p>
    <w:p w:rsidRPr="00A4268A">
      <w:pPr>
        <w:spacing w:before="240" w:line="276" w:lineRule="auto"/>
        <w:rPr>
          <w:rFonts w:eastAsia="Calibri"/>
        </w:rPr>
      </w:pPr>
      <w:r w:rsidRPr="00A4268A">
        <w:rPr>
          <w:rFonts w:eastAsia="Calibri"/>
        </w:rPr>
        <w:t>A pandemic plan has been actioned, and Covid-19 policies and procedures have been developed and implemented. The service continues to implement current Covid-19 regulations around contact tracing.</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26"/>
        <w:gridCol w:w="1280"/>
        <w:gridCol w:w="923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business and care manager and four staff (one registered nurse (RN), one healthcare assistant (HCA), one cook, and one activity coordinator) confirmed their familiarity with the Code of Health and Disability Services Consumer Rights (the Code). Staff apply this knowledge to their daily practice. All staff receive training about the Code during their induction to the service and continue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resident’s bedroom has a poster of the Code on the wall. Six residents and two relatives interviewed stated they receive services that meet the Code of Rights.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relating to informed consent and advanced directives. All five resident files reviewed included signed informed consent forms and instructions around advance directives. Staff are aware of advance directives. Admission agreements were sighted, which were signed by the resident or nominated representative. Discussion with residents identified that the service actively involves them in decision making.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services is included in the resident information pack and is provided to new residents and their family on arrival. Advocacy brochures and contact numbers are available in the lounge (the main entrance area). The complaint process is linked to advocacy services with this offered to any complainant if required. Staff receive annual education and training on the role of advocacy services. Staff have had training around advocacy in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confirmed that visiting could occur at any time. Residents verified that they have been supported and encouraged to remain involved in the community, including being involved in regular community groups as covid 19 restrictions allow. Assistance is provided by the care staff to ensure the resident’s participation as much as they can safely and desire to do so, as observed during the audit. The Maori resident attends the local Marae activities through Greenlane Maori Advocates regularly.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describes the management of the complaints process. Information about the complaints policy and procedure is provided on admission. The manager and the RN operate an ‘open door’ policy. Residents and relatives confirmed they are aware of the complaints process. The HCA interviewed was able to describe the process around reporting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held in a paper form. Three complaints were lodged from 2021to 2022 year to date. There was documented evidence of each complaint being acknowledged, investigated, and resolved in a timely manner. Sighted monthly staff and quality combined meeting minutes confirmed complaints were discussed at the meetings. There have been no external complaints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of the code of right and advocacy are available at the entrance of main living area, which is explained to the residents and their families or power of attorney (EPOA) on entry to the service by the operator or Clinical Lead. Each resident’s room is provided with a hard copy of the Code of right, complaint process chart and form. Residents and relatives stated they received adequate information on resident rights.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can describe correctly what ‘privacy’ means to them and the residents. Healthcare assistants interviewed reported that they are always knock-on doors prior to entering the rooms, as observed during the audit. Resident’s independence is encouraged at all times. Cultural and spiritual beliefs and information is incorporated in the residents’ care plan, and advisors are available when required. There is a policy on abuse and neglect. Staff receive annual ‘Abuse &amp; Neglect’ training, which has been scheduled in April 2022.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Maori health plan in place. At the time of the audit there was one resident who identified as Māori living at the facility. Maori consultation is available through links with Greenlane Maori Advocates who can provide advice and support as required and enhance their culture understanding of treaty expectations and provision. The staff interviewed were able to explain how to meet the cultural needs of residents identifying as Maori.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interviewed were aware of the importance of meeting individual needs of residents. Individual culture and spiritual beliefs are incorporated into their care plan and reviewed regularly. Family/whanau are invited to attend this process. Staff receive annual culture competence training, and this year’s training has been scheduled in April 2022.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protect residents from abuse. The GP and staff interviewed stated that there was no evidence of abuse or neglect in the service. Code of conduct is part of the new employee’s induction to the service and is signed by the new employee. Professional boundaries are defined in job descriptions. The HCA interviewed confirmed their understanding of professional boundaries. Job descriptions outline scope of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Epsom South Retirement Home has established systems and processes. All policies and procedures, which have been developed in line with current best practice and reviewed regularly. The 2022 business plan outlines a number of priorities such as maintain competitive market pricing, and update brochures etc. Staff interviewed feel that they are well supported by the management with their professional development. Residents interviewed spoke positively about the care and support provided. Epsom South has an annual calendar for monthly training and audit activities. These programmes demonstrate the commitment for continuous quality improvement and staff professional development. The recent staff satisfaction survey was completed in Feb 2022 with 100% participation rate. All were very satisfied with the service and care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receive explanation about the services and procedures on the entry. Interpreter services are made available to those residents who have difficulties with verbal or written English. There is one resident with very limited English. There were three staff who spoke the same language as the resident who stated that they were very happy with the service provided. Families interviewed stated they were kept well informed on their resident’s health status. Monthly resident meetings encourage open discussion around the services provided (meeting minutes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Epsom South Retirement Home offers rest home level care for up to 27 residents. On the day of audit there were 20 rest home residents in total, including 12 under the Aged Related Care Contract (ARCC), three residents under the young persons with a disability (YPD) Contract, two residents under the Long-Term Support - Chronic Health Care (LTS-CHC) contract, one resident under a mental health contract. The service had verbal confirmation that two new residents had been assessed at rest home level of care under the ARRC however the service was waiting for confirmation of this. </w:t>
            </w:r>
          </w:p>
          <w:p w:rsidR="00EB7645" w:rsidRPr="00BE00C7" w:rsidP="00BE00C7">
            <w:pPr>
              <w:pStyle w:val="OutcomeDescription"/>
              <w:spacing w:before="120" w:after="120"/>
              <w:rPr>
                <w:rFonts w:cs="Arial"/>
                <w:b w:val="0"/>
                <w:lang w:eastAsia="en-NZ"/>
              </w:rPr>
            </w:pPr>
            <w:r w:rsidRPr="00BE00C7">
              <w:rPr>
                <w:rFonts w:cs="Arial"/>
                <w:b w:val="0"/>
                <w:lang w:eastAsia="en-NZ"/>
              </w:rPr>
              <w:t>There is a 2022 business plan with goals, timeframes, and responsibilities. The quality programme annual calendar sets the whole year’s quality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and care manager who has been in the role since June 2021 and has a background in pharmaceutical field. They are supported by an assistant manager who joined the organisation in September 2021. The clinical Lead (registered nurse) works five hours a day, five days a week. The chief executive officer (director/RN) is available for on call 24/7 if the clinical lead is not available. The facility manager has attended at least 16 hours of training in relation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assistant manager and business and care manager can relieve for each other if one is on leave. The chief executive officer relieves for the registered nurse when on leave.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Epsom South Retirement Home has an established quality and risk management system. There are policies and procedures in place to ensure the service is meeting accepted good practice and adhering to relevant standards. The ‘quality management annual calendar’ schedules monthly activities. A document control process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combined quality/health and safety/ infection control/ staff meeting. Minutes sighted confirmed there is lack of documented evidence of resolution of issues in response to the corrective action plans documented as a result of the review of quality data, audit outcomes, operational issues and concerns/complaints between July 2021 and Jan 2022. It was noted that the gaps occurred during the times of lock down related to Covid 19. </w:t>
            </w:r>
          </w:p>
          <w:p w:rsidR="00EB7645" w:rsidRPr="00BE00C7" w:rsidP="00BE00C7">
            <w:pPr>
              <w:pStyle w:val="OutcomeDescription"/>
              <w:spacing w:before="120" w:after="120"/>
              <w:rPr>
                <w:rFonts w:cs="Arial"/>
                <w:b w:val="0"/>
                <w:lang w:eastAsia="en-NZ"/>
              </w:rPr>
            </w:pPr>
            <w:r w:rsidRPr="00BE00C7">
              <w:rPr>
                <w:rFonts w:cs="Arial"/>
                <w:b w:val="0"/>
                <w:lang w:eastAsia="en-NZ"/>
              </w:rPr>
              <w:t>The monthly health and safety meeting has a regular agenda. The meeting minutes confirmed that the corrective actions were taken with evidence of resolution of issues. The service addresses health and safety by recording hazards and near misses, sharing of health and safety information and actively encourage staff input and feedback. There is a health and safety check monthly. The service ensures that all new staff and any contractors are inducted to the health and safety programme with a health and safety competency completed by staff as part of orientation. There is a hazard register, which is being reviewed monthly by the health and safety representative.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Resident/family satisfaction surveys are completed six-monthly. The recent survey was conducted in February 2022. Overall satisfaction survey result (91.33%) which was consistent with the previous survey. There were no areas for improvement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is collected and analysed monthly by the business manager and a report is completed for the monthly quality/staff meeting. A total of 14 incident/accident files (eight unwitnessed falls, one witness fall, two away without leave, three challenging behaviours) were reviewed. Neurological observations were documented for unwitnessed falls or when a resident had hit their head by the clinical lead (if called in when on call or if on site). If the clinical lead was not on site, the HCAs completed a version of the neurological observations that included vital signs, observations of the resident, etc. Staff interviewed stated that they would always call emergency services directly if they were concerned or would call the clinical lead if they were concerned. The appropriate actions were taken in the incidents reviewed. Family members were notified accordingly. Staff/quality meetings reviewed confirmed that incidents were discussed with improvements to care made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reporting policy includes definitions, and outlines responsibilities including immediate action, reporting, monitoring, and corrective action to minimise and debriefing. </w:t>
            </w:r>
          </w:p>
          <w:p w:rsidR="00EB7645" w:rsidRPr="00BE00C7" w:rsidP="00BE00C7">
            <w:pPr>
              <w:pStyle w:val="OutcomeDescription"/>
              <w:spacing w:before="120" w:after="120"/>
              <w:rPr>
                <w:rFonts w:cs="Arial"/>
                <w:b w:val="0"/>
                <w:lang w:eastAsia="en-NZ"/>
              </w:rPr>
            </w:pPr>
            <w:r w:rsidRPr="00BE00C7">
              <w:rPr>
                <w:rFonts w:cs="Arial"/>
                <w:b w:val="0"/>
                <w:lang w:eastAsia="en-NZ"/>
              </w:rPr>
              <w:t>There had been no serious complaints or notifications required to HealthCERT of external agencies since the last audit. There have not been any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Five staff files including one business and care manager, three HCA, one clinical lead were reviewed, and all had relevant documentation relating to employment. Annual practicing certificates were maintained for qualified staff and allied health professionals.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Staff interviewed were able to describe the orientation process and believed new staff were orientated well to the service. Care staff complete competencies as part of orientation relevant to their roles. </w:t>
            </w:r>
          </w:p>
          <w:p w:rsidR="00EB7645" w:rsidRPr="00BE00C7" w:rsidP="00BE00C7">
            <w:pPr>
              <w:pStyle w:val="OutcomeDescription"/>
              <w:spacing w:before="120" w:after="120"/>
              <w:rPr>
                <w:rFonts w:cs="Arial"/>
                <w:b w:val="0"/>
                <w:lang w:eastAsia="en-NZ"/>
              </w:rPr>
            </w:pPr>
            <w:r w:rsidRPr="00BE00C7">
              <w:rPr>
                <w:rFonts w:cs="Arial"/>
                <w:b w:val="0"/>
                <w:lang w:eastAsia="en-NZ"/>
              </w:rPr>
              <w:t>There are one HCA who had completed Level 4 Careerforce training, two HCAs completed level 3 training, two completed level 2 training, and one completed level 1 training.</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training plan that is outlined on the annual calendar. A core competency programme for HCAs and clinical lead includes pressure injury, manual handling, and medication management. Core competencies are completed, and a record of completion is maintained. The clinical lead attends Auckland DHB training programme quarterly. Staff interviewed were aware of the requirement to complete competency training and commented that the current education programme was informative and interesting. All staff have current first aid certificates.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levels and skills mix policy is the documented rationale for determining staffing levels and skill mixes for safe service delivery. There are clear guidelines for increases in staffing depending on the acuity of residents. A staff availability list ensures that staff sickness and vacant shifts are covered, and a review of rosters confirmed that staff are replaced when on leave.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confirmed that they feel that staffing levels are sufficient to meet the needs of residents. The business and care manager and assistant manager both work 40 hours per week and the clinical lead is working between 3pm-8pm from Monday to Friday. The CEO is on call if the clinical lead is not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independent. There were overlaps of HCAs between shifts for mealtime. Both facility manager and assistant manager assist resident during busy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HCA on morning shift (7am-5pm), one HCA on afternoon shift (3pm-11pm) and one on night shift (11pm-7am). </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staff for activities, food services and laundry/housekeeping.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retains relevant and appropriate information to identify residents and track records. This includes information gathered at admission with the involvement of the family. Staff can describe the procedures for maintaining confidentiality of resident records and sign confidentiality statements. Resident files are protected from unauthorised access. Resident files are integrated.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 The service has an information pack available for residents/families at entry. The admission agreements reviewed met the requirements of the Age-Related Residential Care (ARRC) contract. Exclusions from the service are included in the admission agreement. All long-term admission agreements sighted were signed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 up. A record of transfer documentation is kept on the resident’s file. All relevant information is documented and communicated to the receiving health provider or service. The facility uses the ‘yellow envelope ’transfer system.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are currently no residents self-administering. There are no standing orders. There are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 paper based and medi- pack system. Medications are checked on arrival and any pharmacy errors recorded and fed back to the supplying pharmacy. The clinical lead and medication competent HCAs administer all medications. Staff attend annual education and have an annual medication competency completed. There are currently no residents charted eye drops, but the clinical lead stated that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the paper-based system. Ten medication charts were reviewed. Medications are reviewed at least three-monthly by the general practitioner. Photo identification and allergy status was recorded on each resident file. As required medications had indications for use charted.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ambient temperature of the medication room has been recorded and is maintained at less than 25 degrees Celsius. The medication fridge temperature is checked and recorded within expected ranges.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member administering medication was observed while giving lunchtime medications. There were elements of practice that required improvement.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well-equipped, clean kitchen and all meals are cooked onsite. The service has two cooks who cover Monday to Sunday. Both cooks have current food safety certificates. The head cook oversees the procurement of the food and management of the kitchen. The residents have a nutritional profile developed on admission which identifies dietary requirements and likes and dislikes. Changes to residents’ dietary needs have been communicated to the kitchen. Special diets and likes and dislikes were noted. The cook interviewed was knowledgeable around the nutritional requirements of the residents. The four weekly menu cycle was last approved by a dietitian in February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temperature of the food is checked before serving. Meals are served straight from the kitchen on trays. Meals are covered with lids to keep them warm. Special equipment such as lipped plates is available. On the day of audit, meals were observed to be hot and well presented.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Audits are implemented to monitor performance. The food control plan was verified on 19 February 2022. Kitchen fridge and freezer temperatures were monitored and recorded weekly. Food temperatures are checked, and these were all within safe limits. All residents interviewed were satisfied with the meals.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lead completes an initial assessment and care plan on admission to the service which includes relevant risk assessment tools including falls risk, detailed pain, pressure injury, skin, continence, and nutritional assessments. Risk assessments are completed six-monthly or earlier due to acute health changes. InterRAI assessments and long-term care plans were completed within the required timeframes, and outcomes of assessments were reflected in the needs and supports documented in the care plans. Other available information such as discharge summaries and plans, allied health notes, and consultation with resident/relative or significant others are included in the long-term care plans. The outcomes of assessments form the basis of the long-term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are resident centred. Interventions documented support needs and provide detail to guide care. Short-term care plans are used for changes in health status e.g. urinary tract infections. Residents interviewed stated that they were involved in the care planning process. There was evidence of service integration with documented input from a range of specialist care professionals including the mental health care team for older people and the eye clinic for one resident. The care staff interviewed advised that the care plans were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clinical lead initiates a GP consultation. Staff state that they notify family members about any changes in their relative’s health status. Interventions are documented to meet the needs of the resident and there is documented evidence of care plans being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There are currently no wounds or pressure injuries. Previous wound documentation showed that wound assessment, wound management, and wound evaluation was completed, and wound monitoring took place as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activities coordinator who has been in the role for one year. They have had four years previous experience as an activities coordinator in a previous rest home / hospital. They have a level seven diploma in strategic management and work twenty hours a week. The activities coordinator was interviewed and explained how there were group activities offered along with individual activities. On the day of audit residents were observed to have an exercise group session, to be watching sport on TV, listening to music, and going for walks outside.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in the lounge area. Residents have the choice of a variety of activities in which to participate, and every effort is made to ensure activities are meaningful and tailored to residents’ needs. These include exercises, mental stimulation, kiwi quiz, social activities, walks outside, music, arts and crafts, quizzes, and games. Those residents who prefer to stay in their room or who need individual attention have one on one visits to check if there is anything they need and to have a chat. Some residents choose to go out to church every Sunday and the facility will take any others who wish to attend.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Younger residents are very independent and access their own activities in the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van outing with two vehicles to transport residents. Special events like birthdays, Easter, Mothers’ Day, Anzac Day, and the Melbourne Cup are celebrated. Entertainers visit the facility. Residents were engaged in community activities however the Covid 19 pandemic has temporarily stopped residents engaging in these. One resident busks outside a supermarket and others shop in local areas when they like.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comprehensive individual activity plan is based on this assessment. Activity plans are evaluated at least six-monthly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Except for the new admission all plans reviewed had been evaluated by the clinical lead six monthly or when changes to care occurred, which reflect the residents progress towards meeting goals. Short- term care plans for short- term needs are evaluated and signed off as resolved or added to the long-term care plan as an ongoing problem. Activities plans are in place for each of the residents and these are also evaluated six-monthly. The multidisciplinary review involves the RN, GP, and resident/family if they wish to attend. There is at least a three-monthly review by the GP. The family members interviewed confirmed that she is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an eye specialist, dental services, mental health services for older people and physiotherapy. Discussion with the clinical lead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a locked area. Safety data sheets and product sheets are available. A sharps container is available and meets the hazardous substances regulations for containers. The hazard register identifies hazardous substance and staff indicated a clear understanding of processes and protocols. Gloves, aprons, and goggles are available for staff. Personal protective clothing is available for staff and was observed being worn by staff when they were carrying out their duties on the day of audit. All staff have completed chemical safety training in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28 September 2022. There is no maintenance person on site, but contractors are contacted as required. The clinical lead has a preventative and reactive maintenance book. The chief executive officer (director) and business and care manager complete maintenance and gardening duties as required. Contracted plumbers and electricians are available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scales are checked and calibrated annually. Hot water temperatures have been monitored randomly in resident areas and were within the acceptable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communal lounges, hallways and bedrooms have vinyl or tiled flooring. The corridors have safety rails and promote safe mobility with the use of mobility aids. Residents were observed moving freely around the areas with mobility aids where required. The external areas and gardens were well maintained. All outdoor areas have seating and shade.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The HCA interviewed stated there is adequate equipment to safely deliver care for rest home level of care residents.</w:t>
            </w:r>
          </w:p>
          <w:p w:rsidR="00EB7645" w:rsidRPr="00BE00C7" w:rsidP="00BE00C7">
            <w:pPr>
              <w:pStyle w:val="OutcomeDescription"/>
              <w:spacing w:before="120" w:after="120"/>
              <w:rPr>
                <w:rFonts w:cs="Arial"/>
                <w:b w:val="0"/>
                <w:lang w:eastAsia="en-NZ"/>
              </w:rPr>
            </w:pPr>
            <w:r w:rsidRPr="00BE00C7">
              <w:rPr>
                <w:rFonts w:cs="Arial"/>
                <w:b w:val="0"/>
                <w:lang w:eastAsia="en-NZ"/>
              </w:rPr>
              <w:t>The chief executive officer (director) has refurbished areas of the facility and upgraded furniture. The facility looked clean and well maintained on the day of audit. Residents confirmed they are able to move freely around the facility and that the accommodation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have hand basins. Ten rooms have shared ensuites (toilet only). There are also six communal toilets and showers. Fixtures, fittings, and flooring are appropriate. Toilet/shower facilities are easy to clean. There is ample space in toilet and shower areas to accommodate shower chairs if appropriate. There are signs on all shower/toilet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Staff interviewed reported that they have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lounges. Activities occur in the larger areas and the smaller areas are spaces where residents who prefer quieter activities or visitors may sit. The dining room is spacious. There is a small niche with a stepper for exercise which is for resident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Laundry is completed by the HCA’s. The laundry is divided into a “dirty” and “clean” area. There is a laundry and cleaning manual and safety data sheets in place. Personal protective equipment is available. Cleaning and laundry services are monitored through the internal auditing system. </w:t>
            </w:r>
          </w:p>
          <w:p w:rsidR="00EB7645" w:rsidRPr="00BE00C7" w:rsidP="00BE00C7">
            <w:pPr>
              <w:pStyle w:val="OutcomeDescription"/>
              <w:spacing w:before="120" w:after="120"/>
              <w:rPr>
                <w:rFonts w:cs="Arial"/>
                <w:b w:val="0"/>
                <w:lang w:eastAsia="en-NZ"/>
              </w:rPr>
            </w:pPr>
            <w:r w:rsidRPr="00BE00C7">
              <w:rPr>
                <w:rFonts w:cs="Arial"/>
                <w:b w:val="0"/>
                <w:lang w:eastAsia="en-NZ"/>
              </w:rPr>
              <w:t>The cleaner’s equipment was attended at all times or locked away. All chemicals on the cleaner’s’ trolley were labelled. There is a sluice room for the disposal of soiled water or waste and the sluicing of soiled linen if required. The sluice room and the laundry are kept locked when not in use.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Zealand Fire Service approved evacuation scheme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and annual education and training programme includes fire and security training. Staff interviewed confirmed their understanding of emergency procedures. Required fire equipment was sighted on the day of audit. Fire equipment has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fire and emergency manual documented and available to staff. There is a civil defence emergency kit in the clinical lead’s office. This is checked monthly. A generator would be hired if required. There is an emergency supply of 1080 litres of water available on site. There is annual civil defence training with this completed by all staff. There are adequate supplies available in the event of a civil defence emergency including food, water, and blankets.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call bell system is in place. Residents were observed in their rooms with their call bell alarms in proximity. </w:t>
            </w:r>
          </w:p>
          <w:p w:rsidR="00EB7645" w:rsidRPr="00BE00C7" w:rsidP="00BE00C7">
            <w:pPr>
              <w:pStyle w:val="OutcomeDescription"/>
              <w:spacing w:before="120" w:after="120"/>
              <w:rPr>
                <w:rFonts w:cs="Arial"/>
                <w:b w:val="0"/>
                <w:lang w:eastAsia="en-NZ"/>
              </w:rPr>
            </w:pPr>
            <w:r w:rsidRPr="00BE00C7">
              <w:rPr>
                <w:rFonts w:cs="Arial"/>
                <w:b w:val="0"/>
                <w:lang w:eastAsia="en-NZ"/>
              </w:rPr>
              <w:t>There is a minimum of one staff available 24 hours a day, seven days a week with a current first aid/CPR certificate. A first aid trained staff accompanies residents on outings. The facility is securely locked at night. Staff complete two hourly security rounds. There is security lighting. All staff (except the cook) have current first aid certificates.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There is oil column heating in all areas. There are external windows in each room, and panel heaters with temperatures able to be adjusted in each room. Staff and residents interviewed stated that this is effective. There is one outdoor area where residents smoke. All other areas are smoke free. Staff and residents have been offered smoking cessation programmes.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infection control (IC) coordinator (clinical lead) who is responsible for infection control across the facility. The coordinator liaises with and reports to the business and care manager and chief executive officer (registered nurse/director). The responsibility for infection control is described in the job description. The coordinator collates monthly infection events and reports. The infection control programme is reviewed annually by the IC coordinator.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sanitizers are appropriately placed throughout the facility. Residents are offered the annual influenza vaccine. There have been no outbreaks and the response to the Covid 19 pandemic has been and continues to be in line with the Ministry of Health (MOH) guidelines and policies. The clinical lead has maintained effective communication with the MOH representatives during the pandemic with evidence of this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coordinator is an experienced nurse. They have access to infection control expertise within the DHB, wound nurse specialist, public health, and laboratory. The GP monitors the use of antibiotics.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were developed by an external infection control specialist.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procedures, and guidelines written by the MOH for the Covid 19 pandemic have been downloaded, read, and put in a folder for staff to access.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coordinator is responsible for coordinating/providing education and training to staff. Training on infection control is included in the orientation programme. Staff have participated in IC education in the last year and training for 2021 is also completed. Staff complete an infection control competency with this recorded in their staff file. Resident education occurs as part of providing daily cares and as applicable at resident meeting. Residents interviewed stated that they had been informed at all times of the expectations related to Covid 19 and the facility had been in lockdown during alert level 4.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Individual infection reports are completed for all infections. Infections are analysed for trends and quality improvements. Graphs and relevant information are communicated to staff and documented in management and staff/quality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Internal audits for infection control are included in the annual audit schedule. There is close liaison with the GP who advises and provides feedback/information to the service. Systems in place are appropriate to the size and complexity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and no residents have had Covid 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restraint minimisation and safe practice. Policy includes guidelines and definitions for use of enablers and restraint. Staff have had training around restraint minimisation, safe practice, and management of challenging behaviours annually. There are no enablers or restraint used in the service.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13"/>
        <w:gridCol w:w="1280"/>
        <w:gridCol w:w="6217"/>
        <w:gridCol w:w="2791"/>
        <w:gridCol w:w="13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 plans were documented when issues were raised e.g. from audits. There was lack of documented evidence of resolution of issues in meeting minutes when these were identified in quality data, audit outcomes, operational issues and concerns/complaints between July 2021 and Jan 2022.</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Meeting minutes sighted did not document the outcomes of the corrective action plans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there is documented evidence of resolution of issues when corrective action plans are put in place.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member administering medication was observed when administering medication at lunchtime for residents. The staff tore off all the blisters from each pack for all residents needing medication at that time, left them on top of the trolley and then took the blister to a resident to administer. The staff member did check the blister against the prescription when they tore the off and ticked it to say that it matched. The staff member then took a blister, ensured that the resident had a drink to take with medication and gave them the blister. At one point, the staff member left the room to get water for the resident with the blisters on top of the trolley unsupervised. The staff member signed for the medication after it was administered.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Examples of poor practice were identified when observing a staff member giving medication to a number of residents at lunchtime. This included tearing off all blisters for all residents who had lunchtime medication prescribed prior to giving them to the individual resident and leaving medication on top of the trolley unattended.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staff follow correct medication procedures and guidelines.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Greenwoods House Limited - Epsom South Retirement Home</w:t>
    </w:r>
    <w:bookmarkEnd w:id="58"/>
    <w:r>
      <w:rPr>
        <w:rFonts w:cs="Arial"/>
        <w:sz w:val="16"/>
        <w:szCs w:val="20"/>
      </w:rPr>
      <w:tab/>
      <w:t xml:space="preserve">Date of Audit: </w:t>
    </w:r>
    <w:bookmarkStart w:id="59" w:name="AuditStartDate1"/>
    <w:r>
      <w:rPr>
        <w:rFonts w:cs="Arial"/>
        <w:sz w:val="16"/>
        <w:szCs w:val="20"/>
      </w:rPr>
      <w:t>16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