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Dutch Village Trust - Ons Dorp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Dutch Village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Ons Dorp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2022</w:t>
      </w:r>
      <w:bookmarkEnd w:id="7"/>
      <w:r w:rsidRPr="009418D4">
        <w:rPr>
          <w:rFonts w:cs="Arial"/>
        </w:rPr>
        <w:tab/>
        <w:t xml:space="preserve">End date: </w:t>
      </w:r>
      <w:bookmarkStart w:id="8" w:name="AuditEndDate"/>
      <w:r w:rsidR="00A4268A">
        <w:rPr>
          <w:rFonts w:cs="Arial"/>
        </w:rPr>
        <w:t>11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Ons Dorp is governed by a trust board and managed by a general manager and a clinical manager. </w:t>
      </w:r>
    </w:p>
    <w:p w:rsidRPr="00A4268A">
      <w:pPr>
        <w:spacing w:before="240" w:line="276" w:lineRule="auto"/>
        <w:rPr>
          <w:rFonts w:eastAsia="Calibri"/>
        </w:rPr>
      </w:pPr>
      <w:r w:rsidRPr="00A4268A">
        <w:rPr>
          <w:rFonts w:eastAsia="Calibri"/>
        </w:rPr>
        <w:t>Ons Dorp care centre provides hospital (including medical) and rest home care for up to 45 residents, all beds are dual purpose (rest home and hospital). On the day of audit there were 39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service has a current strategic plan, a business plan, and a quality plan/ risk plan. Quality is monitored though the service meetings and reports to the trust board. </w:t>
      </w:r>
    </w:p>
    <w:p w:rsidRPr="00A4268A">
      <w:pPr>
        <w:spacing w:before="240" w:line="276" w:lineRule="auto"/>
        <w:rPr>
          <w:rFonts w:eastAsia="Calibri"/>
        </w:rPr>
      </w:pPr>
      <w:r w:rsidRPr="00A4268A">
        <w:rPr>
          <w:rFonts w:eastAsia="Calibri"/>
        </w:rPr>
        <w:t>The clinical manager is a registered nurse and has been in the role for three years and employed at Ons Dorp for four years. She is supported by an experienced general manager and a team of registered nurses.</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w:t>
      </w:r>
    </w:p>
    <w:p w:rsidRPr="00A4268A">
      <w:pPr>
        <w:spacing w:before="240" w:line="276" w:lineRule="auto"/>
        <w:rPr>
          <w:rFonts w:eastAsia="Calibri"/>
        </w:rPr>
      </w:pPr>
      <w:r w:rsidRPr="00A4268A">
        <w:rPr>
          <w:rFonts w:eastAsia="Calibri"/>
        </w:rPr>
        <w:t xml:space="preserve">This audit identified two areas requiring improvement around neurological observations and communication of quality outcomes. The service has been awarded one continuous improvement around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clinical manager is supported by registered nurses, Health care assistants and support staff. The quality and risk management programme includes a service philosophy, and a quality and risk management programme. Quality activities generate improvements in practice and service delivery. Meetings are held to discuss quality and risk management processes and results. Resident and family meetings are held. Health and safety policies, systems and processes are implemented to manage risk. Incidents and accidents are reported and investigated. A comprehensive education and training programme is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services are appropriate and efficiently managed by suitably qualified staff using relevant information provided.</w:t>
      </w:r>
    </w:p>
    <w:p w:rsidRPr="00A4268A" w:rsidP="00621629">
      <w:pPr>
        <w:spacing w:before="240" w:line="276" w:lineRule="auto"/>
        <w:rPr>
          <w:rFonts w:eastAsia="Calibri"/>
        </w:rPr>
      </w:pPr>
      <w:r w:rsidRPr="00A4268A">
        <w:rPr>
          <w:rFonts w:eastAsia="Calibri"/>
        </w:rPr>
        <w:t xml:space="preserve">The multidisciplinary team, including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is appropriate to the needs of residents and is clean and well maintained. Appropriate policies and procedures are available along with product safety charts. Chemicals are stored safely throughout the facility’s storage areas. There is a current building warrant of fitness in place. Resident rooms are spacious with an adequate number of shower and toilet facilities for the number of residents. All areas are accessible to people with a disability. External areas are safe and well maintained. Fixtures, fittings, and flooring are appropriate and toilet/shower facilities are constructed for ease of cleaning. Cleaning and laundry services are well monitored through the internal auditing system. Appropriate training, information, and equipment for responding to emergencies are provided. There is an approved fire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was one resident using restraint and one resident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There are Covid-19 alert level management plans in place and sufficient PPE is on hand. Documented policies and procedures are in place for the prevention and control of infection and reflect current accepted good practice and legislative requirements. The type of surveillance undertaken is appropriate to the size and complexity of the organisation. Results of surveillance are acted-upon,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67"/>
        <w:gridCol w:w="1280"/>
        <w:gridCol w:w="85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Consumers’ Rights (the Code) policy and procedure is implemented. Discussions with the general manager, clinical manager and 17 staff (seven health care assistants (HCAs) who cover morning and afternoon shifts, three registered nurses (RN), one activities person, one chef, one kitchen hand, one laundry person, a housekeeper, physiotherapist, and maintenance person) confirmed their familiarity with the Code. Interviews with four rest home level residents, two hospital level residents and four relatives (hospital level) confirmed that the services being provided are in line with the Code. Staff receive training on the Code, last occurring in August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were obtained on admission and sighted all resident files reviewed Advance directives for continuing care (where appropriate) were completed and on the resident files. Resuscitation plans were sighted in all files and were signed appropriately. Copies of enduring power of attorney (EPOA) were present in resident files. Systems are in place to ensure residents and where appropriate their family/whānau, are provided with appropriate information to make informed choices and informed decisions. The HCAs and registered nurses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long-term resident’s files sampled had signed admission agreements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annual training on advocacy. Information about accessing advocacy services is available in the information presented to residents and their families during entry to the service. Advocacy support is available if requested. Interviews with staff, residents and relatives confirmed that they were aware of advocacy services and how to access an advocate. The complaints process reminds the complainant of their right to contact the Health and Disability Advocacy Service with contact details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attending cafés and restaurants) as covid restrictions allow. Interviews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There were seven recorded complaints for 2020. including one health and disability complaint and one through the DHB. All complaints have been investigated and resolved. There are four complaints 2022 YTD. Complaints have been investigated, including a complaint regarding resident room changes and lounges.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Notification regarding a complaint was communicated to the auditors dated 10 February 2021. This audit noted that communal areas (including in the refurbished wing) were spacious and included easily accessible outside areas. service provision requirements were well documented and timely, including resident assessments (link 1.2.4.2). The quality and risk system is well documented, however resident surveys and internal audit out comes were not well reported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the clinical manager or registered nurse discuss the Code with the resident and the family/whānau. An information pack is given to the resident, next of kin or enduring power of attorney (EPOA) to read and discuss. Residents and relatives interviewed identified they are well informed about the Code of Rights. Six weekly care centre meetings and regular care centre committee meetings provide the opportunity to raise concerns. An annual residents/relatives survey is completed (link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Ons Dorp Care Centre has policies which align with requirements of the Privacy Act and Health Information Privacy Code, policies are form a consultant and personalised to Ons Dorp. During the audit, staff demonstrated gaining permission prior to entering residents’ rooms. All care staff interviewed demonstrated an understanding of privacy and could describe how choice is incorporated into residents’ care. Residents and family members interviewed confirmed that staff promote the residents’ independence wherever possible, and that residents’ choices are encouraged. There is an abuse and neglect policy that is implemented. Staff education and training on abuse and neglect has been provided as part of the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The policies provide recognition of Māori values and beliefs and identify culturally safe practices for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Best practice policies and procedures are available to staff and specialist advice is sought, when necessary. The service has one resident who identifies as Māori. This resident was interviewed and expressed satisfaction with the service. A cultural assessment was completed on entry to the service and cultural care was documented into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to meet the cultural needs of its residents. A high number of the residents are Dutch and so staff training includes staff learning many Dutch words and phrases. Residents interviewed all appreciated the staff efforts to learn their language.</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relatives interviewed reported that they were satisfied that the residents’ cultural and individual values were being met. Information gathered during assessment, including residents’ cultural beliefs and values, is used to develop a care plan. The resident (if appropriate) and/or their family/whānau are asked to consult on the care plan. Discussions with staff confirmed that they are aware of the need to respond to the cultural needs of the residents. All of the residents were able to speak and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Professional boundaries are reconfirmed through education and training sessions, at handover meetings, and performance management if there is infringement with the person concerned. Interviews with all staff confirmed an awareness of professional boundaries including the boundaries of the care workers’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Promoting and encouraging good practice was evident during the audit. Registered nursing staff are available on call after hours and weekends. The service receives support from the district health board including visits from specialists (e.g. wound care, mental health) as well as staff education and training. Physiotherapy services are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Ons Dorp has worked with the DHB to reduce the incidence of falls and bruises for residents. The incidence of fall and bruises had fallen and continues to decrease, the service has exceeded the standard in this area.</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developed a palliative care service. The palliative pathway activation (PPA) process was commenced in association with West Auckland palliative service. The clinical manager has trained as a palliative link nurse and all RNs have undertaken palliative care training. The service informs that early identification of residents on the palliative journey enables them to work with the resident, family, and specialist palliative service for effective care at end of life. There is an implemented process where the palliative pharmacist reviews medications and links to the GP for prescribing.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education and training programme for staff that includes in-service training, impromptu training, and competency assessments.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indicated by a specific progress note in each resident’s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selected for review indicated that family were informed. Families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 and staff are learning some Dutch words and phrases.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Ons Dorp is governed by a trust board and managed by a general manager with the support of the clinical manager. The trust board consists of seven members including a doctor, a lawyer, and a businessperson. Four of the trust members are elected. The board receives a comprehensive monthly care centre report from the clinical manager report including all aspects of care, quality, and risk around the care centre. An overall report of the village including a financial report is provided from the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Ons Dorp care centre provides hospital (geriatric and medical) and rest home care for up to 45 residents.  All beds are dual purpose (rest home and hospital). On the day of audit there were 39 residents; 21 hospital level and 18 rest home level residents, including one hospital level resident funded through the long-term support- chronic conditions contract (LTS-CHC) with the district health board (DHB), the remainder residents were funded through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 business plan, and a quality plan/ risk plan in place for 2019- 2022. Quality is monitored though the service meetings and reports to the trust board. There are specific health and safety objectives which are monitored though the health and safety/quality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a registered nurse, and has been in the role for three years, and employed at Ons Dorp for four years. She is supported by an experienced general manager and a team of registered nurses. The clinical manager reported that she is very well supported by the clinical specialists at the DHB. The nurse manager has maintained at least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clinical manager, the senior registered nurse supported by the GM and the admin manager take on the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and embedded in practice.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communicated to staff. Corrective actions are implemented and followed 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Areas of non-compliance include the initiation of a corrective action plan with sign-off by a manager when implemented but are not well evidenced as communicated to staff via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data (other than audits) is shared with staff via meetings and posting results in the staff room. Minutes of these meetings are made available to all staff. Required actions and resolutions from facility meetings are documented. Resident/relative meetings are monthly.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resident/relative satisfaction surveys are completed, however the most recent (2021) was not collated and reported to respondents.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strong health and safety commitment, and health and safety is reported to the quality meeting. There are designated health and safety representatives all of whom have completed health and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sensors, post falls reviews, physiotherapy reviews and individual interventions. The clinical manager and RNs review all falls and document a monthly report. Health care worker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nurse, as evidenced in all twelve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 but these are not consistently recorded according to policy.</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facility manager confirmed her awareness of the requirement to notify relevant authorities in relation to essential notifications. Examples provided included: A section 31 for RN shortage, one stage three pressure Injury (now resolved), and a resident who resident was absent without leave, police were informed twice. There have been no infection control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the recruitment and staff selection process. Relevant checks are completed to validate the individual’s qualifications, experience, and veracity. A register of current practising certificates is maintained. Seven staff files reviewed (three HCAs, two RNs, one maintenance person and one activities person) reflected evidence of: reference checking, signed employment contracts, signed job descriptions, and completed orientation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There is an orientation programme that provides new staff with relevant information for safe work practice including safe resident handling, health and safety, and fire safety. Staff orientations were fully completed. Performance appraisals are completed annually. There is an implemented annual education and training plan that exceeds eight hours annually per staff member. Training is primarily held at monthly sessions and on an individual basis with competency assessments linked to training. A register for each training session and an individual staff member record of training was verified. All new staff are booked for Hospice training via zoom and longer service staff are also booked for refreshers.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The clinical manager and two RNs have completed their interRAI training with two further RNs booked for training. The RNs are all enrolled in online training linked to the DHB and competencies include male catheterisation, end of life care wound care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Careerforce qualifications for staff. There are 15 HCAs with level four Careerforce qualification, two with level three and five with level two. Of the four-activity staff- two are level four and two level three.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has completed a qualification in food safety and food hygiene. All kitchen staff have completed their food safety training on site. Chemical safety training is included in staff orientation and as a regular in-service topic. </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There is a roster in place that ensures that there are sufficient staff rostered on. The fulltime clinical manager is a registered nurse. The clinical manager with support from registered nurses provide on-call cover afterhours and at weekends.</w:t>
            </w:r>
          </w:p>
          <w:p w:rsidR="00EB7645" w:rsidRPr="00BE00C7" w:rsidP="00BE00C7">
            <w:pPr>
              <w:pStyle w:val="OutcomeDescription"/>
              <w:spacing w:before="120" w:after="120"/>
              <w:rPr>
                <w:rFonts w:cs="Arial"/>
                <w:b w:val="0"/>
                <w:lang w:eastAsia="en-NZ"/>
              </w:rPr>
            </w:pPr>
            <w:r w:rsidRPr="00BE00C7">
              <w:rPr>
                <w:rFonts w:cs="Arial"/>
                <w:b w:val="0"/>
                <w:lang w:eastAsia="en-NZ"/>
              </w:rPr>
              <w:t>There is one roster and staff are allocated residents on a daily basis. On the day of audit there were 21 hospital level residents and 18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generally two RNs on the morning shift, one to two on the afternoon shift, and one on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 shift, there are seven full shift HCAs, afternoon shift, there are five full shift HCAs and at night, there are two HCAs. </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confirmed by all residents interviewed. Staff interviewed stated that the staffing levels are satisfactory and that the RN and clinical manager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electronic record. Residents' files are protected from unauthorised access. Informed consent to display photographs is obtained from residents/family/whānau on admission. Sensitive resident information is not displayed in a way that can be viewed by other residents or members of the public. Individual resident files demonstrated service integration. This included medical care interventions and records of the activity’s coordinator. Medication charts are stored electronically and protected from unauthorised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admission policy for the management of inquiries and entry is in place. Ons Dorp’s admission pack sighted contained all the information about access and entry to the service. Assessments and entry screening processes are documented and communicated to the family/whānau of choice, where appropriate, local communities, and referral agencies. Files sampled evidenced that completed Needs Assessment and Service Coordination (NASC) service authorisation forms were completed before entry. Records reviewed confirmed that admission requirements are conducted within the required time frames and are signed on entry. The family/whānau and residents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the management of transfers and discharges. A standard transfer form notification from the DHB is utilised when residents are required to be transferred to the public hospital or another service.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involved in all exits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rsidR="00EB7645" w:rsidRPr="00BE00C7" w:rsidP="00BE00C7">
            <w:pPr>
              <w:pStyle w:val="OutcomeDescription"/>
              <w:spacing w:before="120" w:after="120"/>
              <w:rPr>
                <w:rFonts w:cs="Arial"/>
                <w:b w:val="0"/>
                <w:lang w:eastAsia="en-NZ"/>
              </w:rPr>
            </w:pPr>
            <w:r w:rsidRPr="00BE00C7">
              <w:rPr>
                <w:rFonts w:cs="Arial"/>
                <w:b w:val="0"/>
                <w:lang w:eastAsia="en-NZ"/>
              </w:rPr>
              <w:t>Medication reconciliation is conducted by the RNs when a resident is transferred back to the service from the hospital or any external appointments. The RNs check medicines against the prescription, and these were updated every fortnight or when there are any medication changes. Medication competencies were completed annually for the registered nurses and senior care staff administering medication. Annual training is provided &amp; where there are medications errors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expired or unwanted medicines and expired medicines are returned to the pharmacy in a timely manner. Eye drops are dated on opening, there were no expired drugs on site. Monitoring of medicine fridge and medication room temperatures is conducted regularly and deviations from normal were reported and attended to promptly. Records were sighted. The RN was observed administering medications safely and correctly. Medications were stored safely and securely in the trolley and locked treatment room. There were two rest home level residents self-administering inhalers and were assessed as competent. Competencies are checked and signed off by the GP three monthly. Medications were stored securely (sighted) in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All had photo identification, allergies, and three-monthly reviews by the GP. ‘As required’ (PRN) medications were appropriately prescribed with indications for use documented. As required medications had been appropriately administered with efficacy documented on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service is outsourced, and it complies with current food safety legislation and guidelines. The food service is managed by the chef assisted by a kitchen hand. There is an approved food control plan for the service which expires on 1 January 2023. Meal services are prepared on-site and served in the respective dining areas. The menu was reviewed by the registered dietitian in November 2020. The kitchen staff have current food handling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Assessments and care plans are detailed and included input from the family/whanau, residents, and other health team members as appropriate. Additional assessments were completed according to the need (e.g., behavioural, nutritional, continence, and skin and pressure risk assessments). The nursing team utilises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and input from the resident and/or family/whānau inform the care plan and assist in identifying the required support to meet residents’ goals and desired outcomes. Plans sampled were resident-focused and stated actual or potential problem/deficits, set goals for meeting these, and detailed required interventions. Short-term care plans were used for short-term needs, and these were reviewed weekly or as required. There was documented evidence sighted in samples of short-term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The review process determined the effectiveness of the interventions in ensuring the resident is achieving set goals. The care plans are amended, as necessary, to ensure the interventions and goals are appropriate, congruent, and achievable.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reported that behaviour management plans were implemented as required especially to residents presenting with any behavioural issues of concern. Family/whānau and residents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and evidence of allied healthcare professionals involved in the care of the residents, such as gerontology nurses, physiotherapists, district nurses, dietitians,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seven residents’ files sampled evidenced that care plans developed had interventions that were relevant and adequate to address the identified needs of residents. 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in the resident file.</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assessments, treatment and evaluations were in place for all current wounds and skin tears. There were no pressure injuries on the day of audit. There was a range of equipment readily available to minimise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suited to the level of care provided and following the residents’ needs. 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 term changes in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pain, challenging behaviour, wounds, restraint, and continence. Registered nurses review the monitoring charts and report identified concerns to the GP, nurse practitioner or nurse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an activities coordinator assisted by three activities assistants. The activities are based on assessment and reflected the residents’ social, cultural, spiritual, physical, cognitive needs/abilities, past hobbies, interests, and enjoyments. Residents’ birthdays are celebrated. The chaplain, hairdresser, and physiotherapist are on-site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history and leisure is completed for each resident within two weeks of admission in consultation with the family. Residents’ activities care plans were evaluated at least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formulated by the activities staff. The activities are varied and appropriate for people assessed as requiring rest home, hospital level of care, and those under 65 years of age. Individual, group activities and regular events are offered. There are regular outings/drives, for all residents and these are conducted in line with MOH Covid-19 guidelines. The weekly planner sighted included, board games, word games, bingo, movies, pet therapy, story reading, art and craft, social van rides, exercises and news and views. Residents and family were consulted in the development of a planner. </w:t>
            </w:r>
          </w:p>
          <w:p w:rsidR="00EB7645" w:rsidRPr="00BE00C7" w:rsidP="00BE00C7">
            <w:pPr>
              <w:pStyle w:val="OutcomeDescription"/>
              <w:spacing w:before="120" w:after="120"/>
              <w:rPr>
                <w:rFonts w:cs="Arial"/>
                <w:b w:val="0"/>
                <w:lang w:eastAsia="en-NZ"/>
              </w:rPr>
            </w:pPr>
            <w:r w:rsidRPr="00BE00C7">
              <w:rPr>
                <w:rFonts w:cs="Arial"/>
                <w:b w:val="0"/>
                <w:lang w:eastAsia="en-NZ"/>
              </w:rPr>
              <w:t>Activity progress notes and social activity attendance register are completed daily. The residents were observed participating in a variety of activities on the audit days. There is an atrium with a coffee machine available for residents and their families to use for various functions if required. Family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care plan and interRAI assessment is evaluated, reviewed, and amended either when clinically indicated by a change in the resident’s condition or at least every six months whichever is earlier. The evaluations reflected the achievement of the resident set goals over the previous six months. The evaluations are carried out by the RNs in conjunction with family, residents, GP, and specialist service providers. </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responded by initiating changes to the care plan. Short-term care plans were reviewed weekly or as indicated by the degree of risk noted during the assessment process. 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are supported to access or seek a referral to other health and/or disability service providers. If the need for other non-urgent services is indicated or requested, the GP and the nursing team refer to specialist service providers and the DHB. Referrals are followed up regularly by the GP and clinical manager. The resident and the family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Acute or urgent referrals are attended to,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policy describes safe and appropriate storage and disposal of waste, infectious or hazardous substances, including storage and use of chemicals. An external company is contracted to supply and manage all chemicals and cleaning products and they also provide relevant staff training. Material safety data sheets were available where chemicals are stored, and staff interviewed knew what to do should any chemical spill/event occur. No hazardous substances were detected on site. The clinical manager, chef, laundry/cleaning personnel and care staff interviewed demonstrated awareness of safety and appropriate disposal of waste. Used continence and sanitary products are disposed of appropriately in appropriate disposal containers stored in a safe place outside.</w:t>
            </w:r>
          </w:p>
          <w:p w:rsidR="00EB7645" w:rsidRPr="00BE00C7" w:rsidP="00BE00C7">
            <w:pPr>
              <w:pStyle w:val="OutcomeDescription"/>
              <w:spacing w:before="120" w:after="120"/>
              <w:rPr>
                <w:rFonts w:cs="Arial"/>
                <w:b w:val="0"/>
                <w:lang w:eastAsia="en-NZ"/>
              </w:rPr>
            </w:pPr>
            <w:r w:rsidRPr="00BE00C7">
              <w:rPr>
                <w:rFonts w:cs="Arial"/>
                <w:b w:val="0"/>
                <w:lang w:eastAsia="en-NZ"/>
              </w:rPr>
              <w:t>There were sharps boxes in the medication room. Toiletries and cleaning chemicals are locked up in a room. Personal protective equipment was readily available. Staff was observed to be using personal protective equipment, including changing gloves after every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was displayed and expires on 23 November 2022. Annual electrical testing is completed by a certified electrician, and this was confirmed in documentation review, interviews with maintenance personnel, and observation of the environment. Calibration of scales and medical equipment occurs annually, and there were documents to support this. The service has two eight-seater vans, one with wheel-chair access with a current vehicle warrant of fitness and registration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Hot water checks are conducted monthly, with all readings below the maximum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The corridors are wide enough to enable mobility aids and fitted with handrails to encourage independent mobility. Most resident rooms have direct external access to courtyards and garden areas. There are concrete ramps to enable disability access. Residents can walk around freely throughout the facility and grounds. The gardens and courtyard were well maintained and tidy.</w:t>
            </w:r>
          </w:p>
          <w:p w:rsidR="00EB7645" w:rsidRPr="00BE00C7" w:rsidP="00BE00C7">
            <w:pPr>
              <w:pStyle w:val="OutcomeDescription"/>
              <w:spacing w:before="120" w:after="120"/>
              <w:rPr>
                <w:rFonts w:cs="Arial"/>
                <w:b w:val="0"/>
                <w:lang w:eastAsia="en-NZ"/>
              </w:rPr>
            </w:pPr>
            <w:r w:rsidRPr="00BE00C7">
              <w:rPr>
                <w:rFonts w:cs="Arial"/>
                <w:b w:val="0"/>
                <w:lang w:eastAsia="en-NZ"/>
              </w:rPr>
              <w:t>Environment hazards are identified and monitored as per the health and safety system. Residents and staff confirmed they know the processes they should follow if any repairs or maintenance are required,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bathrooms and toilet facilities throughout the facility. Sixteen resident rooms (care suites) have their own ensuite and one hospital room has an ensuite. The toilet's doorways are wide and accessible for residents who require mobility aids. There are secure handrails for the residents to use for support and to promote residents’ independence. Each toilet door is lockable with working ‘engaged/vacant’ signs for privacy. Each bedroom has a hand basin. Toilets, bathrooms, and showers had doors or curtains to provide privacy for users. Toilets, bathrooms, and showers were clean and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Visitor and staff toilets are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are 29 single bedrooms with a hand basin, three double rooms, with single occupancy. Personal privacy is maintained and residents in double rooms have screens in between for privacy where required. Rooms are personalised with furnishings, photos, and other personal items displayed. Doorways are wide enough for wheelchair access if required. There was space for mobility aids. Residents with mobility aids were observed to be moving in and out of the rooms with ease. Staff and residents confirmed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are kept warm by heat pumps and the atrium has ceramic heaters in place. The bedrooms have heat pumps and wall heaters.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washed on-site or by family members if requested. The family/whanau interviewed expressed satisfaction with the laundry management and the clothes are returned in a timely manner. Material safety data sheets for each of the products were readily accessible. There is a clear separation of clean and dirty areas in the laundry. There are two laundry staff members, one permanent and the other works on part time basis. The laundry department runs seven days a week. Adequate stock of personal protective equipment (PPE) were sighted, and staff were knowledgeable on infection control practices. The staff attends chemical safety training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personnel who have received appropriate training. Chemicals were decanted into appropriately labelled containers. The staff attends chemical safety training annually. The effectiveness of cleaning and laundry processes is monitored through the internal audit programme and corrective actions are acted upon. All residents and family members interviewed reported that the environment was clean and were satisfied with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Cleaning trolleys were kept locked in the two storerooms at the facility. The cleaner interviewed was able to outline infection control practices around cleaning. Cleaning has been increased during Covid-19 pandemic. Records of attendance to IPC training was sighted. Staff wore required PPE during their day-to-day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reported that the environment was clean and were satisfied with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evacuation plan, and an evacuation policy is in place. A fire drill takes place every six months and the most recent was conducted in February 2022. All staff complete fire training and participate in a fire drill. Orientation for new employees includes emergency and security training. Staff demonstrated awareness of emergency procedures. There is always at least one staff member on duty with a first-aid certificate. Almost 90% of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fire exit doors, and the courtyard is the designated assembly point. All required fire equipment is checked within the required timeframes by an external contractor. A civil defence plan was in place. Adequate supplies in the event of a civil defence emergency including food, water, candles, torches, and a gas BBQ meet The National Emergency Management Agency recommendations for the region. A generator is available for hire if required. Two backup batteries are kept fully charged in the power room.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A security check is done by the afternoon and night staff where all doors are locked. The facility is monitored by CCTV mainly in public and outside areas. External lighting is adequate for safety and security. Call bells alert staff to residents requiring assistance. The call bell system is operational with bells in each room. Those tested on the days of the audit were working and staff responded to call bells promptly. Residents interviewed confirmed that staff attends promptly when a bell is activated. There are labels on the walls to indicate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have doors that open onto the outside garden or small patio areas. Heating is provided by heat pumps and wall heaters in residents’ rooms and the communal areas. Areas were warm and well ventilated throughout the audit and residents and families confirmed the facilities are maintained at a comfortable temperature. The service has an external designated covered smoking area away from the building for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Ons Dorp has an established infection control programme. The infection control programme, its content and detail, is appropriate for the size, complexity and degree of risk associated with the service. A senior RN is the designated infection control nurse for the organisation, with support from the clinical manager. Infection control is linked to the quality meeting and includes discussion and reporting of infection control matters. The infection control programme has been reviewed annually. Minutes of meetings are available for staff. Education is provided for staff as part of the 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well developed plans for contingency with regards to the various Covid-19 alert levels. There are sufficient supplies of personal protective equipment (PPE) on hand, and training around infection control, hand hygiene, and donning and doffing of PPE has been provided to staff. Isolation kits are available for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infection control nurse maintains her practice and has completed training. Ons Dorp has external support from the WDHB infection control nurse specialist, and the local hospital. Staff interviewed were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policy and procedures are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an external contractor and are reviewed and updated annually by the clinical manager, then discussed with the quality &amp; risk team. Policies and procedures are reflective of Covid19 guidelines and procedures. A pandemic plan is documented, which includes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The clinical manager, the infection control nurse, and external providers, who provide the service with current and best practice information, facilitate this. All infection control training is documented, and a record of attendance is maintained. Discussion of infection prevention is documented in resident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the infection surveillance policy. Monthly infection data is collected for all infections. The infection prevention and control nurse receives surveillance data that is collated monthly, including strategies for corrective actions. An infection report and short-term care plan is available for recording infections. Surveillance of all infections is entered onto a monthly infection summary. This data is monitored and evaluated monthly, annually. Outcomes and actions are discussed at quality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are easily accessible to the manager and to organisational management.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Enablers are voluntary. There is one resident with restraint and one with and enabler. Staff are trained in restraint minimisation, challenging behaviour and de-escalation and competencies are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and a job description for the restraint coordinator/RN are in place. The resident/family/whānau as appropriate are consulted prior to the use of restraint and receive written information on restraint use. The GP is involved in the approval process. Two care plans were reviewed; one for a resident with a lap belt restraint and one for bedrail enabler identified the use of restraint/ enabler and included an assessment and consent. Healthcare assistants interviewed were knowledgeable on the use of restraint and approval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need for restraint is assessed and agreed by the GP, family, and restraint coordinator. Restraint assessments are based on information in the resident’s care plan, discussions with the resident and family and observations by staff. A restraint assessment tool meets the requirements of the standard. One resident file where restraint was being used was selected for review. The file included a restraint assessment completed by a RN / restraint coordinator. The consent forms were signed by the resident’s family and GP. Restraint use is linked to the resident’s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The service monitors and logs all resident interventions that may inhibit resident movement. This includes all residents with sensor lights, low beds, bed levels and landing mats (as examples).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documented on the restraint log (including residents using restraint, enablers, low beds, sensor mats etc) are reviewed monthly by the restraint coordinator and reported to the quality meeting. Restraint and all residents on the restraint register are is reviewed six-monthly as part of the care plan review.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programme, including reviewing policies and procedures and staff education is evaluated annually by the restraint coordinator and clinical manager as part of the internal review. Restraint audits identify opportunities for improvement (link 1.2.3.6).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8"/>
        <w:gridCol w:w="1280"/>
        <w:gridCol w:w="5802"/>
        <w:gridCol w:w="2491"/>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internal audit system which included annual resident surveys. Internal audits have been undertaken as per the schedule as has the resident survey. Audits are followed up and service gaps followed up and signed off as needed. Quality meeting did not all document the internal audit outcomes and the resident survey had not been collated and reported to respondents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Internal audit outcomes are not consistently reported to the quality meetings (safety audit, the restraint audit, complaints, and the Code of rights audit as examples)</w:t>
            </w:r>
          </w:p>
          <w:p w:rsidR="00EB7645" w:rsidRPr="00BE00C7" w:rsidP="00BE00C7">
            <w:pPr>
              <w:pStyle w:val="OutcomeDescription"/>
              <w:spacing w:before="120" w:after="120"/>
              <w:rPr>
                <w:rFonts w:cs="Arial"/>
                <w:b w:val="0"/>
                <w:lang w:eastAsia="en-NZ"/>
              </w:rPr>
            </w:pPr>
            <w:r w:rsidRPr="00BE00C7">
              <w:rPr>
                <w:rFonts w:cs="Arial"/>
                <w:b w:val="0"/>
                <w:lang w:eastAsia="en-NZ"/>
              </w:rPr>
              <w:t>ii). The most recent residents survey had not been collated and results communicated to respondents.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internal audit it comes are reported to the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ii). Ensure the residents survey is collated and results communicated to respondents.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procedure, and forms around post fall neurological observations. Ten unwitnessed falls incidents were reviewed. All 10 had documented post fall follow up, including changes to care interventions updated, and falls minimisation strategies, however not all neurological observations were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ten unwitnessed falls, four did not have the neurological observations documented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neurological observations are documented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17"/>
        <w:gridCol w:w="1280"/>
        <w:gridCol w:w="6721"/>
        <w:gridCol w:w="38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2020 it was recognised that resident related falls were high and were related to a group of frequent fallers. Bruises were also noted to be higher than expected and were related to falls and also manual handling.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projects were commenced to reduce the incidence of falls and for bruises, both projects utilised recognised quality process such as process diagrams and root cause analysis. Evaluation of the projects and out comes were reviewed and evaluated though health and safety meetings, hand overs and staff discussion regarding individual residents. </w:t>
            </w:r>
          </w:p>
          <w:p w:rsidR="00EB7645" w:rsidRPr="00BE00C7" w:rsidP="00BE00C7">
            <w:pPr>
              <w:pStyle w:val="OutcomeDescription"/>
              <w:spacing w:before="120" w:after="120"/>
              <w:rPr>
                <w:rFonts w:cs="Arial"/>
                <w:b w:val="0"/>
                <w:lang w:eastAsia="en-NZ"/>
              </w:rPr>
            </w:pPr>
            <w:r w:rsidRPr="00BE00C7">
              <w:rPr>
                <w:rFonts w:cs="Arial"/>
                <w:b w:val="0"/>
                <w:lang w:eastAsia="en-NZ"/>
              </w:rPr>
              <w:t>For falls, interventions included physio falls assessments, a documented transfer plan indicating the falls risk, sensor lights in the resident’s room (sensing movement and alerting staff to assist the resident), landing mats and low beds, personal alarms, review of activities in the lounge, and the removal of senor mats (as it was noted that residents tried to avoid treading on them).</w:t>
            </w:r>
          </w:p>
          <w:p w:rsidR="00EB7645" w:rsidRPr="00BE00C7" w:rsidP="00BE00C7">
            <w:pPr>
              <w:pStyle w:val="OutcomeDescription"/>
              <w:spacing w:before="120" w:after="120"/>
              <w:rPr>
                <w:rFonts w:cs="Arial"/>
                <w:b w:val="0"/>
                <w:lang w:eastAsia="en-NZ"/>
              </w:rPr>
            </w:pPr>
            <w:r w:rsidRPr="00BE00C7">
              <w:rPr>
                <w:rFonts w:cs="Arial"/>
                <w:b w:val="0"/>
                <w:lang w:eastAsia="en-NZ"/>
              </w:rPr>
              <w:t>For bruising, interventions included the development of staff manual handling champions, (these staff are paired with new staff to assist the training of new staff), quarterly toolbox training sessions by the physio, ad hoc audits of correct hoist use, limb protectors, and the use of the transfer plans in each resident’s room. Staff education noted that staff should ‘allow time for the resident to readjust their body’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have reduced and continue the downward trend. During 2020 there were an average of 16 falls a month, for 2021 and 2022 to year to date, falls have averaged 10 falls a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Bruises have documented similar reduction - during 2020 there were an average of 12.3 bruise related incidents recorded, this has reduced to 11.5, for 2021 and 2022 year to date, and the last months average is 5.1 falls a month.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Dutch Village Trust - Ons Dorp Care Centre</w:t>
    </w:r>
    <w:bookmarkEnd w:id="58"/>
    <w:r>
      <w:rPr>
        <w:rFonts w:cs="Arial"/>
        <w:sz w:val="16"/>
        <w:szCs w:val="20"/>
      </w:rPr>
      <w:tab/>
      <w:t xml:space="preserve">Date of Audit: </w:t>
    </w:r>
    <w:bookmarkStart w:id="59" w:name="AuditStartDate1"/>
    <w:r>
      <w:rPr>
        <w:rFonts w:cs="Arial"/>
        <w:sz w:val="16"/>
        <w:szCs w:val="20"/>
      </w:rPr>
      <w:t>10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