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Addington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Addington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February 2022</w:t>
      </w:r>
      <w:bookmarkEnd w:id="7"/>
      <w:r w:rsidRPr="009418D4">
        <w:rPr>
          <w:rFonts w:cs="Arial"/>
        </w:rPr>
        <w:tab/>
        <w:t xml:space="preserve">End date: </w:t>
      </w:r>
      <w:bookmarkStart w:id="8" w:name="AuditEndDate"/>
      <w:r w:rsidR="00A4268A">
        <w:rPr>
          <w:rFonts w:cs="Arial"/>
        </w:rPr>
        <w:t>16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Addington Rest Home (Addington Gardens) is owned and operated by Oceania Healthcare Limited and provides rest home, hospital, dementia, and residential disability (physical) care for up to 97 residents in Christchurch. </w:t>
      </w:r>
    </w:p>
    <w:p w:rsidRPr="00A4268A">
      <w:pPr>
        <w:spacing w:before="240" w:line="276" w:lineRule="auto"/>
        <w:rPr>
          <w:rFonts w:eastAsia="Calibri"/>
        </w:rPr>
      </w:pPr>
      <w:r w:rsidRPr="00A4268A">
        <w:rPr>
          <w:rFonts w:eastAsia="Calibri"/>
        </w:rPr>
        <w:t>This unannounced surveillance audit was conducted against the relevant Health and Disability Services Standards and the services contracted by Canterbury District Health Board, at the red traffic light setting during the Covid-19 pandemic. The auditors reviewed residents’ and staff files, organisational policies, records, and the environment, and included interviews with residents, families, regional and facility management, staff, and a general practitioner.</w:t>
      </w:r>
    </w:p>
    <w:p w:rsidRPr="00A4268A">
      <w:pPr>
        <w:spacing w:before="240" w:line="276" w:lineRule="auto"/>
        <w:rPr>
          <w:rFonts w:eastAsia="Calibri"/>
        </w:rPr>
      </w:pPr>
      <w:r w:rsidRPr="00A4268A">
        <w:rPr>
          <w:rFonts w:eastAsia="Calibri"/>
        </w:rPr>
        <w:t>One area requiring improvement was identified relating to closure of complaints. Previous corrective actions related to the facility, medication management and activities plans have been adequately addressed.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with frequent contact documented. There is access to interpreting services if required.</w:t>
      </w:r>
    </w:p>
    <w:p w:rsidRPr="00A4268A">
      <w:pPr>
        <w:spacing w:before="240" w:line="276" w:lineRule="auto"/>
        <w:rPr>
          <w:rFonts w:eastAsia="Calibri"/>
        </w:rPr>
      </w:pPr>
      <w:r w:rsidRPr="00A4268A">
        <w:rPr>
          <w:rFonts w:eastAsia="Calibri"/>
        </w:rPr>
        <w:t xml:space="preserve">Concerns and complaints are recorded and addressed in accordance with the Code of Health and Disability Services Consumers’ Rights.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Oceania Healthcare Limited is the governing body responsible for the facility. Since the previous audit, a new Oceania CEO has commenced in the role. The business and care manager (BCM) is experienced and has overseen the facility for nine years. A regional management team and clinical manager provide support. Regular comprehensive monitoring of the services is undertaken, with information reported to the governing body.</w:t>
      </w:r>
    </w:p>
    <w:p w:rsidRPr="00A4268A">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improvements. Staff are involved and feedback is sought from residents and families. Adverse events are documented with corrective actions identified and implemented where necessary. Actual and potential risks, including health and safety risks, are identified, and mitigated. Policies and procedures are managed nationally and support service delivery to all residents, including those younger people with disabilities.</w:t>
      </w:r>
    </w:p>
    <w:p w:rsidRPr="00A4268A">
      <w:pPr>
        <w:spacing w:before="240" w:line="276" w:lineRule="auto"/>
        <w:rPr>
          <w:rFonts w:eastAsia="Calibri"/>
        </w:rPr>
      </w:pPr>
      <w:r w:rsidRPr="00A4268A">
        <w:rPr>
          <w:rFonts w:eastAsia="Calibri"/>
        </w:rPr>
        <w:t xml:space="preserve">The recruitment,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residents and their family/whānau.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activities for younger people with disabilities are provided. The programme enables residents to maintain their links with the community and a facility van is used for outings.</w:t>
      </w:r>
    </w:p>
    <w:p w:rsidRPr="00A4268A" w:rsidP="00621629">
      <w:pPr>
        <w:spacing w:before="240" w:line="276" w:lineRule="auto"/>
        <w:rPr>
          <w:rFonts w:eastAsia="Calibri"/>
        </w:rPr>
      </w:pPr>
      <w:r w:rsidRPr="00A4268A">
        <w:rPr>
          <w:rFonts w:eastAsia="Calibri"/>
        </w:rPr>
        <w:t>Medicines are safely managed and administered by staff who are competent to do so. No residents were self-medicating at the time of audit.</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A reactive and preventative maintenance programme is implemented, including electrical and biomedical testing. There have been no changes to the building footprint.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Seven enablers for five residents were in use at the time of the audit. There has been no restraint used in the past nine months.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88"/>
        <w:gridCol w:w="1280"/>
        <w:gridCol w:w="1016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Concerns and complaint processes meet the timeframes required in Right 10 of the Code of Health and Disability Services Consumers’ Rights. Information about the complaint process is provided and explained to residents and families on admission with the hard copy forms readily available to people in the reception area. Reminders about the complaint process are noted in resident meeting minutes. There are no known Health and Disability Commission complaints, or complaints reported to other external agencies. </w:t>
            </w:r>
          </w:p>
          <w:p w:rsidR="00EB7645" w:rsidRPr="00BE00C7" w:rsidP="00BE00C7">
            <w:pPr>
              <w:pStyle w:val="OutcomeDescription"/>
              <w:spacing w:before="120" w:after="120"/>
              <w:rPr>
                <w:rFonts w:cs="Arial"/>
                <w:b w:val="0"/>
                <w:lang w:eastAsia="en-NZ"/>
              </w:rPr>
            </w:pPr>
            <w:r w:rsidRPr="00BE00C7">
              <w:rPr>
                <w:rFonts w:cs="Arial"/>
                <w:b w:val="0"/>
                <w:lang w:eastAsia="en-NZ"/>
              </w:rPr>
              <w:t>Seven complaints have been recorded over the previous year. Concerns are also logged and fully responded to. The organisation is transitioning to recording all complaint information into a comprehensive electronic system. This process has just commenced and will also act as the complaint register, enabling tracking of progress and follow up. The BCM is responsible for the management of complaints in the facility, with detail reporting each month to the national QCAM (quality, compliance, audit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are aware of the need to keep residents and family members well informed about any changes in the resident’s status. Several examples were reviewed in relation to incidents or accidents, or when urgent medical review was required. Incidents are reported electronically, which includes a box to record communication with the resident or their family. Further detail is included in the electronic record progress note section. The business care manager (BCM) is readily available (‘open door’), and the clinical manager is active throughout the facility should residents wish to raise any issues. Positive interactions were observed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that this was rarely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Addington Rest Home (Addington Gardens) is owned and operated by Oceania Healthcare Group. It is one of five facilities operated by Oceania Healthcare Ltd in the Christchurch area. The governance structure includes a board, executive leadership team (including a new CEO in 2021), operational committees and regional support teams. Business and quality plans reflected the organisation’s values and objectives and are developed by the BCM to reflect the service’s needs. A sample of monthly and quarterly reports and meeting minutes were provided to support performance monitoring, including financial performance, changes in risks and clinical and facility issues. </w:t>
            </w:r>
          </w:p>
          <w:p w:rsidR="00EB7645" w:rsidRPr="00BE00C7" w:rsidP="00BE00C7">
            <w:pPr>
              <w:pStyle w:val="OutcomeDescription"/>
              <w:spacing w:before="120" w:after="120"/>
              <w:rPr>
                <w:rFonts w:cs="Arial"/>
                <w:b w:val="0"/>
                <w:lang w:eastAsia="en-NZ"/>
              </w:rPr>
            </w:pPr>
            <w:r w:rsidRPr="00BE00C7">
              <w:rPr>
                <w:rFonts w:cs="Arial"/>
                <w:b w:val="0"/>
                <w:lang w:eastAsia="en-NZ"/>
              </w:rPr>
              <w:t>The BCM is a very experienced facility manager, having led this service for nine years. She holds a current annual practising certificate and maintains currency through the various forums (now mostly online) provided through Oceania or the Aged Care Association. A clinical manager (CM) was appointed in mid-2021, having previously worked in short term CM roles for the organisation.</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dementia, hospital, and rest home care for up to 97 residents. There were 83 residents in the facility at the time of audit. This consisted of 18 dementia care residents, 30 rest home level care residents, one respite care and 34 hospital level care which includes five residential disability in dual purpose beds. Twenty-two of the dual-purpose beds are presently under occupation right agreements (ORAs). The layout of the building enables staff to be rostered across two wings, with largely separate staffing arrangements for the dementia unit. Five residents under the YPD agreement are included in the occupancy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well-established, planned and implemented national quality and risk system that reflects the principles of continuous quality improvement. This includes management of incidents and complaints, audit activities, a regular patient satisfaction survey, monitoring of outcomes, clinical incidents including infections and restraint. Data collected within the facility is analysed and compared over time. Specific meetings and satisfaction surveys including for younger people with disabilities, are undertaken. The organisation uses a range of audit and survey data to benchmark its service against other Oceania facilities and to inform improvement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the range of quality indicators and that related information (eg, CM month end reports) and trends are discussed. Relevant learnings are shared through the regular quality and staff meetings and internal memos. Meeting minutes confirmed a consistent record of quality related matters. Internal audits are undertaken in accordance with the quarterly national schedule. Examples reviewed included medication (four times per year), falls, personal care, admission processes and of staff records. Each audit is scored for its compliance and compared and reported as a key indicator. Corrective actions are developed and implemented to address any service shortfalls, including from internal audits.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are completed annually for all residents who wish to respond. Interviews with residents indicated a good level of satisfaction with the service, including for the food service. The last survey was completed in October 2021, with resident meeting minutes referencing results and subsequent discussion. Overall, there is a high level of satisfaction expressed in all domains in the 20 surveys returned. </w:t>
            </w:r>
          </w:p>
          <w:p w:rsidR="00EB7645" w:rsidRPr="00BE00C7" w:rsidP="00BE00C7">
            <w:pPr>
              <w:pStyle w:val="OutcomeDescription"/>
              <w:spacing w:before="120" w:after="120"/>
              <w:rPr>
                <w:rFonts w:cs="Arial"/>
                <w:b w:val="0"/>
                <w:lang w:eastAsia="en-NZ"/>
              </w:rPr>
            </w:pPr>
            <w:r w:rsidRPr="00BE00C7">
              <w:rPr>
                <w:rFonts w:cs="Arial"/>
                <w:b w:val="0"/>
                <w:lang w:eastAsia="en-NZ"/>
              </w:rPr>
              <w:t>Organisation-wide policies and procedures are managed centrally by Oceania Healthcare Ltd, are controlled, and based on best practice. Those viewed at this audit were current or presently under review.</w:t>
            </w:r>
          </w:p>
          <w:p w:rsidR="00EB7645" w:rsidRPr="00BE00C7" w:rsidP="00BE00C7">
            <w:pPr>
              <w:pStyle w:val="OutcomeDescription"/>
              <w:spacing w:before="120" w:after="120"/>
              <w:rPr>
                <w:rFonts w:cs="Arial"/>
                <w:b w:val="0"/>
                <w:lang w:eastAsia="en-NZ"/>
              </w:rPr>
            </w:pPr>
            <w:r w:rsidRPr="00BE00C7">
              <w:rPr>
                <w:rFonts w:cs="Arial"/>
                <w:b w:val="0"/>
                <w:lang w:eastAsia="en-NZ"/>
              </w:rPr>
              <w:t>The BCM described the processes for the identification, monitoring, review and reporting of risks and development of risk mitigation strategies. She is familiar with the Health and Safety at Work Act (2015) and has implemented its requirements. A current hazard register identifies health and safety risks throughout the facility and grounds and includes staffing. The health and safety committee meets monthly, with staff engagement. Minutes of meetings were reviewed, and risk ratings associated with different risks and hazards are recorded.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electronic form on the intranet. Those interviewed were aware of the required reporting processes. A sample of incidents forms reviewed showed these were fully completed, incidents were investigated, action plans developed and actions followed-up in a timely manner. Where open disclosure or notification to the family or EPOA is indicated, this was recorded on the electronic system and in the progress notes as appropriate. Adverse event data is collated, analysed, and reported to via the quality and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The BCM described essential notification reporting requirements, including for pressure injuries, Worksafe NZ and section 31 notifications. There have been two of these notifications made to the Ministry of Health in relation to unsatisfactory staffing levels in 2021. The CM also advised of a complaint made by the facility to the District Health Board, about the transfer information received for a resident who was returning to the facility following a hospital stay.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implemented at Addington Gardens is based on good employment practice and relevant legislation. There is central support for human resource management, with the initial processes now managed electronically. The electronic application process ensures all relevant documents are uploaded prior to selection of the applicant for interview. The recruitment process includes referee checks, police vetting, mandatory drug testing and validation of qualifications and practising certificates (APCs), where required. A sample of thirteen staff records reviewed confirmed the organisation’s policies are being consistently implemented and records are maintained in hard copy files. Each staff member also has a well maintained and separate hardcopy training file.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Each person receives a workbook and assessment which is reviewed and discussed with the employee at the end of the orientation period. Staff are buddied, usually in one area, until they are confident in the required tasks. Completion of orientation is recorded on the hard copy staff record, together with certificates of completion for mandatory training, New Zealand Qualification Authority (NZQA) certificates at levels two, three and four and any online Health Learn modules. A staff member is the internal assessor for the NZQA unit standards programme. </w:t>
            </w:r>
          </w:p>
          <w:p w:rsidR="00EB7645" w:rsidRPr="00BE00C7" w:rsidP="00BE00C7">
            <w:pPr>
              <w:pStyle w:val="OutcomeDescription"/>
              <w:spacing w:before="120" w:after="120"/>
              <w:rPr>
                <w:rFonts w:cs="Arial"/>
                <w:b w:val="0"/>
                <w:lang w:eastAsia="en-NZ"/>
              </w:rPr>
            </w:pPr>
            <w:r w:rsidRPr="00BE00C7">
              <w:rPr>
                <w:rFonts w:cs="Arial"/>
                <w:b w:val="0"/>
                <w:lang w:eastAsia="en-NZ"/>
              </w:rPr>
              <w:t>All but one staff member working in the dementia unit have completed the required NZQA level four dementia limited credit programme within the prescribed timeframe. An individualised learning programme has been put in place to support this staff member to work towards achieving the unit standard requirements of the provider’s agreement with the DHB and has commenced the level two foundation unit standards. The individual programme includes accessing other programmes such as ‘walking in another’s shoes’ in the interim.</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included performance appraisals completed over the previous twelve months for those staff employed for longer than one year. Continuing education is planned on an annual basis, including a programme covering mandatory training requirements and education relevant to residents with disabilities. Specific programmes are provided for health care assistants, registered nurses, and non-clinical staff. This includes an Oceania half or whole day study session for non-clinical and clinical staff. A programme of ‘comprehension and competencies’ are completed relevant to the role – examples included hand hygiene, knowledge of Covid-19 and health and safety. A basic first aid course is scheduled for March 2022, with 24 staff booked to attend (new staff and those staff requiring revalidation). The programme is undertaken by all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well-maintained system to manage annual practising certificates for staff and contractors who require them. This includes a recently appointed nurse practitioner who will share the role with another facility. Eight trained and competent registered nurses are maintaining their annual competency requirements to undertake interRAI assessments, with another booked on the next scheduled programme. Some external face to face training has been delayed due to Covid-19.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offered the option of undertaking the Oceania professional development and recognition programme (PDRP), although only one nurse at the site is presently engaged in this. Oceania Healthcare also offers its own competency programme (CAP course) for nurses seeking registration by the Nursing Council of New Zealand. Several staff are working at level four through recognition of prior learning and as a result of their overseas nursing registration. Addington Gardens has also supported a ‘NetP’ role and will seek another entry to practice nurse in the second half of the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After hours, the BCM and CM are available on a call roster for the facility or care queries. Staff reported good access to advice and support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reported there were adequate staff available to complete the work allocated to them. Residents and family interviewed, and the satisfaction survey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the master week roster cycle confirmed adequate staff cover has been provided, with staff replaced in any unplanned absence. Flexi shifts allow some additional hours to be allocated at busy times. There are some full-time equivalent (FTE) deficits and roster gaps noted for some caregiving shifts, which is presently mitigated by lower occupancy and the ability to use flexi shifts to maintain staffing levels. Recruitment is ongoing, however staffing and recruitment is recognised as a risk across the wider organisation. Reorganisation of the nurses’ station (almost completed) and reallocation of staff across two wings has provided better distribution of staff, including registered nurses for both the swing beds and occupational rights apartments (ORAs). The dementia unit staffing levels are separately maintained. Staff are trained in first aid (see previous comment).</w:t>
            </w:r>
          </w:p>
          <w:p w:rsidR="00EB7645" w:rsidRPr="00BE00C7" w:rsidP="00BE00C7">
            <w:pPr>
              <w:pStyle w:val="OutcomeDescription"/>
              <w:spacing w:before="120" w:after="120"/>
              <w:rPr>
                <w:rFonts w:cs="Arial"/>
                <w:b w:val="0"/>
                <w:lang w:eastAsia="en-NZ"/>
              </w:rPr>
            </w:pPr>
            <w:r w:rsidRPr="00BE00C7">
              <w:rPr>
                <w:rFonts w:cs="Arial"/>
                <w:b w:val="0"/>
                <w:lang w:eastAsia="en-NZ"/>
              </w:rPr>
              <w:t>Activities across the whole service are provided by a mix of diversional therapist and activities coordinators providing 100 hours of support each week. The programme includes some evening and weekend hours in the dementia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Allergies or the presence of no known allergies were recorded in all medication charts reviewed and the previous corrective action related to this has been addressed.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registered nurse checks medications against the prescription. All medications sighted were within current use by dates. Clinical pharmacist input is provided on request.</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included the prescriber’s signature and date recorded on the commencement and discontinuation of medicines and all requirements for pro re nata (PRN) medicines. The required three-monthly GP review was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medications at the time of audit. Appropriate processes were in place to ensure this was managed in a safe manner should the need arise.</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qualified chef and kitchen team and was in line with recognised nutritional guidelines for older people. The menu follows summer and winter patterns and has been reviewed by a qualified dietitian within the last two years.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which is current. Food temperatures, including for high-risk items, are monitored appropriately and recorded as part of the plan. The chef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The dietary profile is reviewed and updated six monthly and any changes communicated to the kitchen staff. The chef, when interviewed, confirmed knowledge of the dietary needs of residents including their likes and dislikes. </w:t>
            </w:r>
          </w:p>
          <w:p w:rsidR="00EB7645" w:rsidRPr="00BE00C7" w:rsidP="00BE00C7">
            <w:pPr>
              <w:pStyle w:val="OutcomeDescription"/>
              <w:spacing w:before="120" w:after="120"/>
              <w:rPr>
                <w:rFonts w:cs="Arial"/>
                <w:b w:val="0"/>
                <w:lang w:eastAsia="en-NZ"/>
              </w:rPr>
            </w:pPr>
            <w:r w:rsidRPr="00BE00C7">
              <w:rPr>
                <w:rFonts w:cs="Arial"/>
                <w:b w:val="0"/>
                <w:lang w:eastAsia="en-NZ"/>
              </w:rPr>
              <w:t>Meals are served in the dining room or in the resident’s room if they prefer. A buffet style breakfast is served for those residents who are independent; this was appreciated by the residents interviewed.</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have access to food and fluids to meet their nutritional needs at all times.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Resident satisfaction with meals was high as confirmed by resident interviews and review of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that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Newly introduced weekly team meetings allow for case discussion of any resident whose needs are changing.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equipment and resources was available, suited to the levels of care provided and in accordance with the residents’ needs such as air mattresses, sensor mats and hoists.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currently provided six days a week by one trained diversional therapist and an activities assistant.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life history are undertaken on admission to ascertain residents’ needs, interests, abilities and social requirements. Activities assessments are regularly reviewed to help formulate an activities programme that is meaningful to the residents. All residents’ files reviewed, including those in the secure dementia unit, contained a lifestyle plan detailing their activity needs and wishes. Residents with behavioural needs have a care plan in place to meet their needs and the corrective action raised at the previous has been addressed. The resident’s activity needs are evaluated by assessing engagement in activity, discussion with the residents at residents’ meetings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activity programme sighted reflected residents’ goals, ordinary patterns of life and included normal community activities. Individual, group activities and regular outings or events are offered. The programme aims to include physical, social, intellectual and personalised activities. Examples included chair exercise classes, walking groups, news reading, balloon tennis, arts and crafts, and outings. There are some residents who choose not to participate but prefer to engage in personal activities of their choice and jigsaws, library books and other solo activities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Smaller lounges are available for residents who prefer quiet areas and whānau rooms are available for family visits. There are multiple small garden areas available for residents’ use, including a secure garden attached to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Activities for residents from the secure dementia unit are specific to the needs and abilities of the people living there. Activities are offered at times when residents are most physically active and/or restless. The programme includes activity planning 24 hours a day with carers offering activities when the diversional therapy team is not present. Carers in the secure dementia unit were observed playing memory games and balls games with the residents in addition to the activities offered by the diversional therapy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younger residents with a physical disability have a lifestyle activity plan completed which identifies strategies to maintain connections with the community. This was verified through observation, interview, and file reviews.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displayed for the residents and family. Resident participation in the activities programme is voluntary.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families/whānau are involved in evaluating and improving the programme through residents’ meetings and satisfaction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If any change is noted it is reported to the registered nurse, and if appropriate to the GP.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infections and wound care with photographs taken to document progress. When necessary, and for unresolved problems, long term care plans are added to and updated. Carers interviewed stated they are kept up to date when a resident’s needs change and the GP was happy that nurses identify when a resident is deteriorating and contact him promptly. </w:t>
            </w:r>
          </w:p>
          <w:p w:rsidR="00EB7645" w:rsidRPr="00BE00C7" w:rsidP="00BE00C7">
            <w:pPr>
              <w:pStyle w:val="OutcomeDescription"/>
              <w:spacing w:before="120" w:after="120"/>
              <w:rPr>
                <w:rFonts w:cs="Arial"/>
                <w:b w:val="0"/>
                <w:lang w:eastAsia="en-NZ"/>
              </w:rPr>
            </w:pPr>
            <w:r w:rsidRPr="00BE00C7">
              <w:rPr>
                <w:rFonts w:cs="Arial"/>
                <w:b w:val="0"/>
                <w:lang w:eastAsia="en-NZ"/>
              </w:rPr>
              <w:t>Case conference reviews involving the family occur and evidence of residents and families/whānau involvement in the evaluation of progress and any resulting changes was seen in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 May 2022)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changes to the building since the previous audit which required a building consent. The nurses’ station upgrade is being undertaken within the existing building footprint.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previous corrective action in relation to the testing and tagging of electrical equipment, calibration of bio medical equipment and room fridge monitoring has been fully addressed, with comprehensive records and a reliable system for implementing and recording testing results. Sampling of a variety of equipment and records confirmed this is now effectively implemented by the trained on-site maintenance staff member, who also arranges an external contractor to undertake testing of the biomedical equipment. A sample of refrigerators indicates a suitable system for managing food disposal and fridge temperatures has been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and includes infections of the urinary tract, skin, fungal, eye, oral, gastro-intestinal, the upper and lower respiratory tract and wounds. The clinical manager reviews all reported infections, and these are documented. New infections and any required management plan are discussed at handover, to ensure early intervention occurs and at weekly clinical meeting to review progress. Families are kept informed and communication with families was seen in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by the clinical manager and reviewed to identify possible causative factors and required actions. Collated data is forwarded to the Oceania regional office for benchmarking with other facilities in the Oceania group. Graphs are produced that identify trends for the current year, and comparisons against previous years and this is reported to the facility IPC meeting, the regional clinical manager cluster meeting and the Oceania clinical governance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Results of the surveillance programme are shared with staff via regular staff meetings and at staff handovers.  </w:t>
            </w:r>
          </w:p>
          <w:p w:rsidR="00EB7645" w:rsidRPr="00BE00C7" w:rsidP="00BE00C7">
            <w:pPr>
              <w:pStyle w:val="OutcomeDescription"/>
              <w:spacing w:before="120" w:after="120"/>
              <w:rPr>
                <w:rFonts w:cs="Arial"/>
                <w:b w:val="0"/>
                <w:lang w:eastAsia="en-NZ"/>
              </w:rPr>
            </w:pPr>
            <w:r w:rsidRPr="00BE00C7">
              <w:rPr>
                <w:rFonts w:cs="Arial"/>
                <w:b w:val="0"/>
                <w:lang w:eastAsia="en-NZ"/>
              </w:rPr>
              <w:t>A summary report for a recent respiratory infection outbreak was reviewed and demonstrated a thorough process for investigation and follow up. Learnings from the event have now been incorporated into practice, with additional staff education implemented.</w:t>
            </w:r>
          </w:p>
          <w:p w:rsidR="00EB7645" w:rsidRPr="00BE00C7" w:rsidP="00BE00C7">
            <w:pPr>
              <w:pStyle w:val="OutcomeDescription"/>
              <w:spacing w:before="120" w:after="120"/>
              <w:rPr>
                <w:rFonts w:cs="Arial"/>
                <w:b w:val="0"/>
                <w:lang w:eastAsia="en-NZ"/>
              </w:rPr>
            </w:pPr>
            <w:r w:rsidRPr="00BE00C7">
              <w:rPr>
                <w:rFonts w:cs="Arial"/>
                <w:b w:val="0"/>
                <w:lang w:eastAsia="en-NZ"/>
              </w:rPr>
              <w:t>Covid-19 information is available to all visitors to the facility. Oceania information including MoH information was available on site. There are adequate IPC resources available should a resident infection or outbreak occur. Residents have been provided with information and education through the monthly residents’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(HDSS 8134:2008) and provide guidance on the safe use of both restraints and enablers. The restraint coordinator is a registered nurse who has undertaken additional training in restraint minimisation. She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no residents using restraints and five residents were using at least one enabler, which were the least restrictive and used voluntarily at their requests. A similar process is followed for the use of enablers as is used for restraints and is included in the plan of care.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There has been no restraint use since mid-2021 as evidenced on review of the restraint register, the quality and staff meeting minutes, files reviewed, and from interviews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80"/>
        <w:gridCol w:w="1280"/>
        <w:gridCol w:w="6869"/>
        <w:gridCol w:w="1487"/>
        <w:gridCol w:w="172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easily accessed, responsive, and fair complaints process, which is documented and complies with Right 10 of the Code.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Complaint responses are managed in accordance with Code of Health and Disability Services Consumers’ Rights timeframes up to the point of closure. The organisation is commencing transition of concerns and complaints records to an electronic system; however, in the hardcopy samples reviewed for 2021 (seven), there is no indication on the forms or letters that the complaint has been resolved or closed.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Close out of complaints was not recorded in the sample of seven complaints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records of complaints include the complainant’s response to the outcome and close out date.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Addington Rest Home</w:t>
    </w:r>
    <w:bookmarkEnd w:id="58"/>
    <w:r>
      <w:rPr>
        <w:rFonts w:cs="Arial"/>
        <w:sz w:val="16"/>
        <w:szCs w:val="20"/>
      </w:rPr>
      <w:tab/>
      <w:t xml:space="preserve">Date of Audit: </w:t>
    </w:r>
    <w:bookmarkStart w:id="59" w:name="AuditStartDate1"/>
    <w:r>
      <w:rPr>
        <w:rFonts w:cs="Arial"/>
        <w:sz w:val="16"/>
        <w:szCs w:val="20"/>
      </w:rPr>
      <w:t>15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