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13DB" w14:textId="77777777" w:rsidR="00460D43" w:rsidRDefault="00000000">
      <w:pPr>
        <w:pStyle w:val="Heading1"/>
        <w:rPr>
          <w:rFonts w:cs="Arial"/>
        </w:rPr>
      </w:pPr>
      <w:bookmarkStart w:id="0" w:name="PRMS_RIName"/>
      <w:r>
        <w:rPr>
          <w:rFonts w:cs="Arial"/>
        </w:rPr>
        <w:t>Bupa Care Services NZ Limited - Fergusson Rest Home &amp; Hospital</w:t>
      </w:r>
      <w:bookmarkEnd w:id="0"/>
    </w:p>
    <w:p w14:paraId="58139997" w14:textId="77777777" w:rsidR="00460D43" w:rsidRDefault="00000000">
      <w:pPr>
        <w:pStyle w:val="Heading2"/>
        <w:spacing w:after="0"/>
        <w:rPr>
          <w:rFonts w:cs="Arial"/>
        </w:rPr>
      </w:pPr>
      <w:r>
        <w:rPr>
          <w:rFonts w:cs="Arial"/>
        </w:rPr>
        <w:t>Introduction</w:t>
      </w:r>
    </w:p>
    <w:p w14:paraId="02F8185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2C98278"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79EDB1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446B864"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81CC6C3" w14:textId="77777777" w:rsidR="00460D43" w:rsidRDefault="00000000">
      <w:pPr>
        <w:spacing w:before="240" w:after="240"/>
        <w:rPr>
          <w:rFonts w:cs="Arial"/>
          <w:lang w:eastAsia="en-NZ"/>
        </w:rPr>
      </w:pPr>
      <w:r>
        <w:rPr>
          <w:rFonts w:cs="Arial"/>
          <w:lang w:eastAsia="en-NZ"/>
        </w:rPr>
        <w:t>The specifics of this audit included:</w:t>
      </w:r>
    </w:p>
    <w:p w14:paraId="630206F9"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FD25A0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23D44A4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Fergusson Rest Home &amp; Hospital</w:t>
      </w:r>
      <w:bookmarkEnd w:id="5"/>
    </w:p>
    <w:p w14:paraId="2233800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CC389C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December 2023</w:t>
      </w:r>
      <w:bookmarkEnd w:id="7"/>
      <w:r w:rsidRPr="009418D4">
        <w:rPr>
          <w:rFonts w:cs="Arial"/>
        </w:rPr>
        <w:tab/>
        <w:t xml:space="preserve">End date: </w:t>
      </w:r>
      <w:bookmarkStart w:id="8" w:name="AuditEndDate"/>
      <w:r>
        <w:rPr>
          <w:rFonts w:cs="Arial"/>
        </w:rPr>
        <w:t>15 December 2023</w:t>
      </w:r>
      <w:bookmarkEnd w:id="8"/>
    </w:p>
    <w:p w14:paraId="6488523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CC78636" w14:textId="77777777" w:rsidR="003C159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106</w:t>
      </w:r>
      <w:bookmarkEnd w:id="10"/>
    </w:p>
    <w:p w14:paraId="6D74AB3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FD968DF" w14:textId="77777777" w:rsidR="00460D43" w:rsidRDefault="00000000">
      <w:pPr>
        <w:pStyle w:val="Heading1"/>
        <w:rPr>
          <w:rFonts w:cs="Arial"/>
        </w:rPr>
      </w:pPr>
      <w:r>
        <w:rPr>
          <w:rFonts w:cs="Arial"/>
        </w:rPr>
        <w:lastRenderedPageBreak/>
        <w:t>Executive summary of the audit</w:t>
      </w:r>
    </w:p>
    <w:p w14:paraId="429911A5" w14:textId="77777777" w:rsidR="00460D43" w:rsidRDefault="00000000">
      <w:pPr>
        <w:pStyle w:val="Heading2"/>
        <w:rPr>
          <w:rFonts w:cs="Arial"/>
        </w:rPr>
      </w:pPr>
      <w:r>
        <w:rPr>
          <w:rFonts w:cs="Arial"/>
        </w:rPr>
        <w:t>Introduction</w:t>
      </w:r>
    </w:p>
    <w:p w14:paraId="0546D09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8BD0F0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F6D8D5"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E95A4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A39ACD7"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1A8736C"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660BC5F"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8273C9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44C298C"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C1593" w14:paraId="5FE4618D" w14:textId="77777777">
        <w:trPr>
          <w:cantSplit/>
          <w:tblHeader/>
        </w:trPr>
        <w:tc>
          <w:tcPr>
            <w:tcW w:w="1260" w:type="dxa"/>
            <w:tcBorders>
              <w:bottom w:val="single" w:sz="4" w:space="0" w:color="000000"/>
            </w:tcBorders>
            <w:vAlign w:val="center"/>
          </w:tcPr>
          <w:p w14:paraId="38E2BEA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B89129"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A5CE33" w14:textId="77777777" w:rsidR="00460D43" w:rsidRDefault="00000000">
            <w:pPr>
              <w:spacing w:before="60" w:after="60"/>
              <w:rPr>
                <w:rFonts w:eastAsia="Calibri"/>
                <w:b/>
                <w:szCs w:val="24"/>
              </w:rPr>
            </w:pPr>
            <w:r>
              <w:rPr>
                <w:rFonts w:eastAsia="Calibri"/>
                <w:b/>
                <w:szCs w:val="24"/>
              </w:rPr>
              <w:t>Definition</w:t>
            </w:r>
          </w:p>
        </w:tc>
      </w:tr>
      <w:tr w:rsidR="003C1593" w14:paraId="61031262" w14:textId="77777777">
        <w:trPr>
          <w:cantSplit/>
          <w:trHeight w:val="964"/>
        </w:trPr>
        <w:tc>
          <w:tcPr>
            <w:tcW w:w="1260" w:type="dxa"/>
            <w:tcBorders>
              <w:bottom w:val="single" w:sz="4" w:space="0" w:color="000000"/>
            </w:tcBorders>
            <w:shd w:val="clear" w:color="0066FF" w:fill="0000FF"/>
            <w:vAlign w:val="center"/>
          </w:tcPr>
          <w:p w14:paraId="577F550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AEEFD6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D7D751F"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C1593" w14:paraId="5A5F1FF5" w14:textId="77777777">
        <w:trPr>
          <w:cantSplit/>
          <w:trHeight w:val="964"/>
        </w:trPr>
        <w:tc>
          <w:tcPr>
            <w:tcW w:w="1260" w:type="dxa"/>
            <w:shd w:val="clear" w:color="33CC33" w:fill="00FF00"/>
            <w:vAlign w:val="center"/>
          </w:tcPr>
          <w:p w14:paraId="4DE51790" w14:textId="77777777" w:rsidR="00460D43" w:rsidRDefault="00000000">
            <w:pPr>
              <w:spacing w:before="60" w:after="60"/>
              <w:rPr>
                <w:rFonts w:eastAsia="Calibri"/>
                <w:szCs w:val="24"/>
              </w:rPr>
            </w:pPr>
          </w:p>
        </w:tc>
        <w:tc>
          <w:tcPr>
            <w:tcW w:w="7095" w:type="dxa"/>
            <w:shd w:val="clear" w:color="auto" w:fill="auto"/>
            <w:vAlign w:val="center"/>
          </w:tcPr>
          <w:p w14:paraId="68C5C09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57AFD96"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C1593" w14:paraId="6098CB72" w14:textId="77777777">
        <w:trPr>
          <w:cantSplit/>
          <w:trHeight w:val="964"/>
        </w:trPr>
        <w:tc>
          <w:tcPr>
            <w:tcW w:w="1260" w:type="dxa"/>
            <w:tcBorders>
              <w:bottom w:val="single" w:sz="4" w:space="0" w:color="000000"/>
            </w:tcBorders>
            <w:shd w:val="clear" w:color="auto" w:fill="FFFF00"/>
            <w:vAlign w:val="center"/>
          </w:tcPr>
          <w:p w14:paraId="0E59EA40" w14:textId="77777777" w:rsidR="00460D43" w:rsidRDefault="00000000">
            <w:pPr>
              <w:spacing w:before="60" w:after="60"/>
              <w:rPr>
                <w:rFonts w:eastAsia="Calibri"/>
                <w:szCs w:val="24"/>
              </w:rPr>
            </w:pPr>
          </w:p>
        </w:tc>
        <w:tc>
          <w:tcPr>
            <w:tcW w:w="7095" w:type="dxa"/>
            <w:shd w:val="clear" w:color="auto" w:fill="auto"/>
            <w:vAlign w:val="center"/>
          </w:tcPr>
          <w:p w14:paraId="2A7C5079"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E2806C6"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C1593" w14:paraId="72497E56" w14:textId="77777777">
        <w:trPr>
          <w:cantSplit/>
          <w:trHeight w:val="964"/>
        </w:trPr>
        <w:tc>
          <w:tcPr>
            <w:tcW w:w="1260" w:type="dxa"/>
            <w:tcBorders>
              <w:bottom w:val="single" w:sz="4" w:space="0" w:color="000000"/>
            </w:tcBorders>
            <w:shd w:val="clear" w:color="auto" w:fill="FFC800"/>
            <w:vAlign w:val="center"/>
          </w:tcPr>
          <w:p w14:paraId="60C1B57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25AB8E0"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D731069"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C1593" w14:paraId="241148B3" w14:textId="77777777">
        <w:trPr>
          <w:cantSplit/>
          <w:trHeight w:val="964"/>
        </w:trPr>
        <w:tc>
          <w:tcPr>
            <w:tcW w:w="1260" w:type="dxa"/>
            <w:shd w:val="clear" w:color="auto" w:fill="FF0000"/>
            <w:vAlign w:val="center"/>
          </w:tcPr>
          <w:p w14:paraId="08809345" w14:textId="77777777" w:rsidR="00460D43" w:rsidRDefault="00000000">
            <w:pPr>
              <w:spacing w:before="60" w:after="60"/>
              <w:rPr>
                <w:rFonts w:eastAsia="Calibri"/>
                <w:szCs w:val="24"/>
              </w:rPr>
            </w:pPr>
          </w:p>
        </w:tc>
        <w:tc>
          <w:tcPr>
            <w:tcW w:w="7095" w:type="dxa"/>
            <w:shd w:val="clear" w:color="auto" w:fill="auto"/>
            <w:vAlign w:val="center"/>
          </w:tcPr>
          <w:p w14:paraId="479E7271"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499319E"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61ECDC0" w14:textId="77777777" w:rsidR="00460D43" w:rsidRDefault="00000000">
      <w:pPr>
        <w:pStyle w:val="Heading2"/>
        <w:spacing w:after="0"/>
        <w:rPr>
          <w:rFonts w:cs="Arial"/>
        </w:rPr>
      </w:pPr>
      <w:r>
        <w:rPr>
          <w:rFonts w:cs="Arial"/>
        </w:rPr>
        <w:t>General overview of the audit</w:t>
      </w:r>
    </w:p>
    <w:p w14:paraId="26C8069C" w14:textId="77777777" w:rsidR="00E536CC" w:rsidRDefault="00000000">
      <w:pPr>
        <w:spacing w:before="240" w:line="276" w:lineRule="auto"/>
        <w:rPr>
          <w:rFonts w:eastAsia="Calibri"/>
        </w:rPr>
      </w:pPr>
      <w:bookmarkStart w:id="13" w:name="GeneralOverview"/>
      <w:r w:rsidRPr="00A4268A">
        <w:rPr>
          <w:rFonts w:eastAsia="Calibri"/>
        </w:rPr>
        <w:t>Bupa Fergusson provides hospital (medical and geriatric), rest home, and dementia levels of care for up to 112 residents. At the time of the audit there were 106 residents.</w:t>
      </w:r>
    </w:p>
    <w:p w14:paraId="62B24990" w14:textId="77777777" w:rsidR="003C1593"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Te Whatu Ora Health New Zealand - Capital, Coast and Hutt Valley. The audit process included the review of policies and procedures, the review of resident and staff files, observations, and interviews with residents, family/whānau, management, staff, general practitioner, and nurse practitioner. </w:t>
      </w:r>
    </w:p>
    <w:p w14:paraId="6CBD10AC" w14:textId="77777777" w:rsidR="003C1593" w:rsidRPr="00A4268A" w:rsidRDefault="00000000">
      <w:pPr>
        <w:spacing w:before="240" w:line="276" w:lineRule="auto"/>
        <w:rPr>
          <w:rFonts w:eastAsia="Calibri"/>
        </w:rPr>
      </w:pPr>
      <w:r w:rsidRPr="00A4268A">
        <w:rPr>
          <w:rFonts w:eastAsia="Calibri"/>
        </w:rPr>
        <w:t xml:space="preserve">The general manager is supported by a clinical manager and a team of experienced staff. </w:t>
      </w:r>
    </w:p>
    <w:p w14:paraId="2C357DE3" w14:textId="77777777" w:rsidR="003C1593"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1B2B3A6B" w14:textId="77777777" w:rsidR="003C1593" w:rsidRPr="00A4268A" w:rsidRDefault="00000000">
      <w:pPr>
        <w:spacing w:before="240" w:line="276" w:lineRule="auto"/>
        <w:rPr>
          <w:rFonts w:eastAsia="Calibri"/>
        </w:rPr>
      </w:pPr>
      <w:r w:rsidRPr="00A4268A">
        <w:rPr>
          <w:rFonts w:eastAsia="Calibri"/>
        </w:rPr>
        <w:t>The service has addressed previous audit findings relating to documentation of information and water stores in relation to civil emergency. Aspects of first aid training, performance reviews, staff orientation, incident reporting, and corrective action plans remain areas for improvement.</w:t>
      </w:r>
    </w:p>
    <w:p w14:paraId="646CE340" w14:textId="77777777" w:rsidR="003C1593" w:rsidRPr="00A4268A" w:rsidRDefault="00000000">
      <w:pPr>
        <w:spacing w:before="240" w:line="276" w:lineRule="auto"/>
        <w:rPr>
          <w:rFonts w:eastAsia="Calibri"/>
        </w:rPr>
      </w:pPr>
      <w:r w:rsidRPr="00A4268A">
        <w:rPr>
          <w:rFonts w:eastAsia="Calibri"/>
        </w:rPr>
        <w:lastRenderedPageBreak/>
        <w:t xml:space="preserve">This surveillance audit identified areas for improvement related to internal audits, meetings, staff training, care planning, interventions, monitoring, medicine management, first aid staff on duty. </w:t>
      </w:r>
    </w:p>
    <w:bookmarkEnd w:id="13"/>
    <w:p w14:paraId="4056F9EC" w14:textId="77777777" w:rsidR="003C1593" w:rsidRPr="00A4268A" w:rsidRDefault="003C1593">
      <w:pPr>
        <w:spacing w:before="240" w:line="276" w:lineRule="auto"/>
        <w:rPr>
          <w:rFonts w:eastAsia="Calibri"/>
        </w:rPr>
      </w:pPr>
    </w:p>
    <w:p w14:paraId="63BEAD3F"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1593" w14:paraId="6622E732" w14:textId="77777777" w:rsidTr="00A4268A">
        <w:trPr>
          <w:cantSplit/>
        </w:trPr>
        <w:tc>
          <w:tcPr>
            <w:tcW w:w="10206" w:type="dxa"/>
            <w:vAlign w:val="center"/>
          </w:tcPr>
          <w:p w14:paraId="250933EA"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D194C4E"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E91444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5F5EA1B"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40C5DC0" w14:textId="77777777" w:rsidR="00460D43"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497580DE" w14:textId="77777777" w:rsidR="003C1593" w:rsidRPr="00A4268A" w:rsidRDefault="00000000">
      <w:pPr>
        <w:spacing w:before="240" w:line="276" w:lineRule="auto"/>
        <w:rPr>
          <w:rFonts w:eastAsia="Calibri"/>
        </w:rPr>
      </w:pPr>
      <w:r w:rsidRPr="00A4268A">
        <w:rPr>
          <w:rFonts w:eastAsia="Calibri"/>
        </w:rPr>
        <w:t>Bupa Fergusson demonstrates their knowledge and understanding of resident’s rights and ensures that residents are well informed in respect of these. Residents are kept safe from abuse, and staff are aware of professional boundaries. There are established systems to facilitate informed consent, and to protect resident’s property and finances.</w:t>
      </w:r>
    </w:p>
    <w:p w14:paraId="3BDD90A0" w14:textId="77777777" w:rsidR="003C1593"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3E022B02" w14:textId="77777777" w:rsidR="003C1593" w:rsidRPr="00A4268A" w:rsidRDefault="003C1593">
      <w:pPr>
        <w:spacing w:before="240" w:line="276" w:lineRule="auto"/>
        <w:rPr>
          <w:rFonts w:eastAsia="Calibri"/>
        </w:rPr>
      </w:pPr>
    </w:p>
    <w:p w14:paraId="7438C03E"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1593" w14:paraId="04759FC6" w14:textId="77777777" w:rsidTr="00A4268A">
        <w:trPr>
          <w:cantSplit/>
        </w:trPr>
        <w:tc>
          <w:tcPr>
            <w:tcW w:w="10206" w:type="dxa"/>
            <w:vAlign w:val="center"/>
          </w:tcPr>
          <w:p w14:paraId="4034068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26EB5A90"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DFE00E8"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F7F1A17" w14:textId="77777777" w:rsidR="00460D43" w:rsidRDefault="00000000">
      <w:pPr>
        <w:spacing w:before="240" w:line="276" w:lineRule="auto"/>
        <w:rPr>
          <w:rFonts w:eastAsia="Calibri"/>
        </w:rPr>
      </w:pPr>
      <w:bookmarkStart w:id="19" w:name="OrganisationalManagement"/>
      <w:r w:rsidRPr="00A4268A">
        <w:rPr>
          <w:rFonts w:eastAsia="Calibri"/>
        </w:rPr>
        <w:t>Bupa Fergusson has a well-established, and robust governance structure, including clinical governance that is appropriate to the size and complexity of the service provided. The 2023-2024 business plan includes a mission statement and operational objectives which are regularly reviewed. Barriers to health equity are identified, addressed, and services delivered that improve outcomes for Māori.</w:t>
      </w:r>
    </w:p>
    <w:p w14:paraId="3A18AFCF" w14:textId="77777777" w:rsidR="003C1593" w:rsidRPr="00A4268A" w:rsidRDefault="00000000">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 following the National Adverse Event Reporting Policy, and management have an understanding, and comply with statutory and regulatory obligations in relation to essential notification reporting.</w:t>
      </w:r>
    </w:p>
    <w:p w14:paraId="601D6EAA" w14:textId="77777777" w:rsidR="003C1593"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regular staff education, training, and competencies are in place to support staff in delivering safe, quality care.</w:t>
      </w:r>
    </w:p>
    <w:bookmarkEnd w:id="19"/>
    <w:p w14:paraId="642B611F" w14:textId="77777777" w:rsidR="003C1593" w:rsidRPr="00A4268A" w:rsidRDefault="003C1593">
      <w:pPr>
        <w:spacing w:before="240" w:line="276" w:lineRule="auto"/>
        <w:rPr>
          <w:rFonts w:eastAsia="Calibri"/>
        </w:rPr>
      </w:pPr>
    </w:p>
    <w:p w14:paraId="6F39DBA5"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1593" w14:paraId="7E2DEE4F" w14:textId="77777777" w:rsidTr="00A4268A">
        <w:trPr>
          <w:cantSplit/>
        </w:trPr>
        <w:tc>
          <w:tcPr>
            <w:tcW w:w="10206" w:type="dxa"/>
            <w:vAlign w:val="center"/>
          </w:tcPr>
          <w:p w14:paraId="19AC2CA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D3A9354"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32FD58"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31C48A1"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nurse practitioner, general practitioner and visiting allied health professionals. </w:t>
      </w:r>
    </w:p>
    <w:p w14:paraId="2F1B331D" w14:textId="77777777" w:rsidR="003C1593"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4184A538" w14:textId="77777777" w:rsidR="003C1593"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Nutritional snacks are available 24/7. </w:t>
      </w:r>
    </w:p>
    <w:p w14:paraId="18C32C57" w14:textId="77777777" w:rsidR="003C1593"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1288B4AA" w14:textId="77777777" w:rsidR="003C1593" w:rsidRPr="00A4268A" w:rsidRDefault="003C1593" w:rsidP="00621629">
      <w:pPr>
        <w:spacing w:before="240" w:line="276" w:lineRule="auto"/>
        <w:rPr>
          <w:rFonts w:eastAsia="Calibri"/>
        </w:rPr>
      </w:pPr>
    </w:p>
    <w:p w14:paraId="218793EF"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1593" w14:paraId="5F8F4DF7" w14:textId="77777777" w:rsidTr="00A4268A">
        <w:trPr>
          <w:cantSplit/>
        </w:trPr>
        <w:tc>
          <w:tcPr>
            <w:tcW w:w="10206" w:type="dxa"/>
            <w:vAlign w:val="center"/>
          </w:tcPr>
          <w:p w14:paraId="6942F7D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4929C50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2793912"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17AEE230" w14:textId="77777777" w:rsidR="00460D43" w:rsidRDefault="00000000">
      <w:pPr>
        <w:spacing w:before="240" w:line="276" w:lineRule="auto"/>
        <w:rPr>
          <w:rFonts w:eastAsia="Calibri"/>
        </w:rPr>
      </w:pPr>
      <w:bookmarkStart w:id="25" w:name="SafeAndAppropriateEnvironment"/>
      <w:r w:rsidRPr="00A4268A">
        <w:rPr>
          <w:rFonts w:eastAsia="Calibri"/>
        </w:rPr>
        <w:t xml:space="preserve"> Electrical equipment has been tested and tagged. All medical equipment has been serviced and calibrated.</w:t>
      </w:r>
    </w:p>
    <w:bookmarkEnd w:id="25"/>
    <w:p w14:paraId="2B27FCAB" w14:textId="77777777" w:rsidR="003C1593" w:rsidRPr="00A4268A" w:rsidRDefault="003C1593">
      <w:pPr>
        <w:spacing w:before="240" w:line="276" w:lineRule="auto"/>
        <w:rPr>
          <w:rFonts w:eastAsia="Calibri"/>
        </w:rPr>
      </w:pPr>
    </w:p>
    <w:p w14:paraId="3814EC8F"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1593" w14:paraId="61A6F471" w14:textId="77777777" w:rsidTr="00A4268A">
        <w:trPr>
          <w:cantSplit/>
        </w:trPr>
        <w:tc>
          <w:tcPr>
            <w:tcW w:w="10206" w:type="dxa"/>
            <w:vAlign w:val="center"/>
          </w:tcPr>
          <w:p w14:paraId="15C40BE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D08A017"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EF254AA"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CFC8876" w14:textId="77777777" w:rsidR="00460D43"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Board level. Infection control education is provided to staff at the start of their employment, and as part of the annual education plan.</w:t>
      </w:r>
    </w:p>
    <w:p w14:paraId="5F0C08E8" w14:textId="77777777" w:rsidR="003C1593"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had been several outbreaks (Covid-19) recorded and reported on since the last audit. </w:t>
      </w:r>
    </w:p>
    <w:bookmarkEnd w:id="28"/>
    <w:p w14:paraId="6BBE97A7" w14:textId="77777777" w:rsidR="003C1593" w:rsidRPr="00A4268A" w:rsidRDefault="003C1593">
      <w:pPr>
        <w:spacing w:before="240" w:line="276" w:lineRule="auto"/>
        <w:rPr>
          <w:rFonts w:eastAsia="Calibri"/>
        </w:rPr>
      </w:pPr>
    </w:p>
    <w:p w14:paraId="09CCC6AD"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1593" w14:paraId="3CC80BD0" w14:textId="77777777" w:rsidTr="00A4268A">
        <w:trPr>
          <w:cantSplit/>
        </w:trPr>
        <w:tc>
          <w:tcPr>
            <w:tcW w:w="10206" w:type="dxa"/>
            <w:vAlign w:val="center"/>
          </w:tcPr>
          <w:p w14:paraId="0FEE88A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CFC61A7"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93B235B"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179F56A"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a registered nurse. The facility had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1EC8CEF5" w14:textId="77777777" w:rsidR="003C1593" w:rsidRPr="00A4268A" w:rsidRDefault="003C1593">
      <w:pPr>
        <w:spacing w:before="240" w:line="276" w:lineRule="auto"/>
        <w:rPr>
          <w:rFonts w:eastAsia="Calibri"/>
        </w:rPr>
      </w:pPr>
    </w:p>
    <w:p w14:paraId="18B8529D" w14:textId="77777777" w:rsidR="00460D43" w:rsidRDefault="00000000" w:rsidP="000E6E02">
      <w:pPr>
        <w:pStyle w:val="Heading2"/>
        <w:spacing w:before="0"/>
        <w:rPr>
          <w:rFonts w:cs="Arial"/>
        </w:rPr>
      </w:pPr>
      <w:r>
        <w:rPr>
          <w:rFonts w:cs="Arial"/>
        </w:rPr>
        <w:t>Summary of attainment</w:t>
      </w:r>
    </w:p>
    <w:p w14:paraId="7246210E"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C1593" w14:paraId="48267769" w14:textId="77777777">
        <w:tc>
          <w:tcPr>
            <w:tcW w:w="1384" w:type="dxa"/>
            <w:vAlign w:val="center"/>
          </w:tcPr>
          <w:p w14:paraId="076F15F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BAB6726" w14:textId="77777777" w:rsidR="00460D43" w:rsidRDefault="00000000">
            <w:pPr>
              <w:keepNext/>
              <w:spacing w:before="60" w:after="60"/>
              <w:jc w:val="center"/>
              <w:rPr>
                <w:rFonts w:cs="Arial"/>
                <w:b/>
                <w:sz w:val="20"/>
                <w:szCs w:val="20"/>
              </w:rPr>
            </w:pPr>
            <w:r>
              <w:rPr>
                <w:rFonts w:cs="Arial"/>
                <w:b/>
                <w:sz w:val="20"/>
                <w:szCs w:val="20"/>
              </w:rPr>
              <w:t>Continuous Improvement</w:t>
            </w:r>
          </w:p>
          <w:p w14:paraId="09A0E74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CD5A41F" w14:textId="77777777" w:rsidR="00460D43" w:rsidRDefault="00000000">
            <w:pPr>
              <w:keepNext/>
              <w:spacing w:before="60" w:after="60"/>
              <w:jc w:val="center"/>
              <w:rPr>
                <w:rFonts w:cs="Arial"/>
                <w:b/>
                <w:sz w:val="20"/>
                <w:szCs w:val="20"/>
              </w:rPr>
            </w:pPr>
            <w:r>
              <w:rPr>
                <w:rFonts w:cs="Arial"/>
                <w:b/>
                <w:sz w:val="20"/>
                <w:szCs w:val="20"/>
              </w:rPr>
              <w:t>Fully Attained</w:t>
            </w:r>
          </w:p>
          <w:p w14:paraId="2B0639D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8E5BB4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04D97C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BC3E3F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50C4EB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433DAB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45A15B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EFFDDB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8EA1705"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781C44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852B63F" w14:textId="77777777" w:rsidR="00460D43" w:rsidRDefault="00000000">
            <w:pPr>
              <w:keepNext/>
              <w:spacing w:before="60" w:after="60"/>
              <w:jc w:val="center"/>
              <w:rPr>
                <w:rFonts w:cs="Arial"/>
                <w:b/>
                <w:sz w:val="20"/>
                <w:szCs w:val="20"/>
              </w:rPr>
            </w:pPr>
            <w:r>
              <w:rPr>
                <w:rFonts w:cs="Arial"/>
                <w:b/>
                <w:sz w:val="20"/>
                <w:szCs w:val="20"/>
              </w:rPr>
              <w:t>(PA Critical)</w:t>
            </w:r>
          </w:p>
        </w:tc>
      </w:tr>
      <w:tr w:rsidR="003C1593" w14:paraId="276D1515" w14:textId="77777777">
        <w:tc>
          <w:tcPr>
            <w:tcW w:w="1384" w:type="dxa"/>
            <w:vAlign w:val="center"/>
          </w:tcPr>
          <w:p w14:paraId="06BFDFE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9FD2B7D"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079FEF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733788DF"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8ABADD"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92F80D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3E6E4F55"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8E6558F"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C1593" w14:paraId="02686130" w14:textId="77777777">
        <w:tc>
          <w:tcPr>
            <w:tcW w:w="1384" w:type="dxa"/>
            <w:vAlign w:val="center"/>
          </w:tcPr>
          <w:p w14:paraId="1ECEA11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805EC3A"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6447239"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43</w:t>
            </w:r>
            <w:bookmarkEnd w:id="40"/>
          </w:p>
        </w:tc>
        <w:tc>
          <w:tcPr>
            <w:tcW w:w="1843" w:type="dxa"/>
            <w:vAlign w:val="center"/>
          </w:tcPr>
          <w:p w14:paraId="5ADE9FA4"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99F337E"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5B87253D"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6AAC856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7869E00"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9651339"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C1593" w14:paraId="47DE080F" w14:textId="77777777">
        <w:tc>
          <w:tcPr>
            <w:tcW w:w="1384" w:type="dxa"/>
            <w:vAlign w:val="center"/>
          </w:tcPr>
          <w:p w14:paraId="359F790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1F2F41C"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08BA599"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85CA6BD" w14:textId="77777777" w:rsidR="00460D43" w:rsidRDefault="00000000">
            <w:pPr>
              <w:keepNext/>
              <w:spacing w:before="60" w:after="60"/>
              <w:jc w:val="center"/>
              <w:rPr>
                <w:rFonts w:cs="Arial"/>
                <w:b/>
                <w:sz w:val="20"/>
                <w:szCs w:val="20"/>
              </w:rPr>
            </w:pPr>
            <w:r>
              <w:rPr>
                <w:rFonts w:cs="Arial"/>
                <w:b/>
                <w:sz w:val="20"/>
                <w:szCs w:val="20"/>
              </w:rPr>
              <w:t>Unattained Low Risk</w:t>
            </w:r>
          </w:p>
          <w:p w14:paraId="0575776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673777A" w14:textId="77777777" w:rsidR="00460D43" w:rsidRDefault="00000000">
            <w:pPr>
              <w:keepNext/>
              <w:spacing w:before="60" w:after="60"/>
              <w:jc w:val="center"/>
              <w:rPr>
                <w:rFonts w:cs="Arial"/>
                <w:b/>
                <w:sz w:val="20"/>
                <w:szCs w:val="20"/>
              </w:rPr>
            </w:pPr>
            <w:r>
              <w:rPr>
                <w:rFonts w:cs="Arial"/>
                <w:b/>
                <w:sz w:val="20"/>
                <w:szCs w:val="20"/>
              </w:rPr>
              <w:t>Unattained Moderate Risk</w:t>
            </w:r>
          </w:p>
          <w:p w14:paraId="16BB45DC"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973C7CA" w14:textId="77777777" w:rsidR="00460D43" w:rsidRDefault="00000000">
            <w:pPr>
              <w:keepNext/>
              <w:spacing w:before="60" w:after="60"/>
              <w:jc w:val="center"/>
              <w:rPr>
                <w:rFonts w:cs="Arial"/>
                <w:b/>
                <w:sz w:val="20"/>
                <w:szCs w:val="20"/>
              </w:rPr>
            </w:pPr>
            <w:r>
              <w:rPr>
                <w:rFonts w:cs="Arial"/>
                <w:b/>
                <w:sz w:val="20"/>
                <w:szCs w:val="20"/>
              </w:rPr>
              <w:t>Unattained High Risk</w:t>
            </w:r>
          </w:p>
          <w:p w14:paraId="59C45311"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BB3A657" w14:textId="77777777" w:rsidR="00460D43" w:rsidRDefault="00000000">
            <w:pPr>
              <w:keepNext/>
              <w:spacing w:before="60" w:after="60"/>
              <w:jc w:val="center"/>
              <w:rPr>
                <w:rFonts w:cs="Arial"/>
                <w:b/>
                <w:sz w:val="20"/>
                <w:szCs w:val="20"/>
              </w:rPr>
            </w:pPr>
            <w:r>
              <w:rPr>
                <w:rFonts w:cs="Arial"/>
                <w:b/>
                <w:sz w:val="20"/>
                <w:szCs w:val="20"/>
              </w:rPr>
              <w:t>Unattained Critical Risk</w:t>
            </w:r>
          </w:p>
          <w:p w14:paraId="1601386A" w14:textId="77777777" w:rsidR="00460D43" w:rsidRDefault="00000000">
            <w:pPr>
              <w:keepNext/>
              <w:spacing w:before="60" w:after="60"/>
              <w:jc w:val="center"/>
              <w:rPr>
                <w:rFonts w:cs="Arial"/>
                <w:b/>
                <w:sz w:val="20"/>
                <w:szCs w:val="20"/>
              </w:rPr>
            </w:pPr>
            <w:r>
              <w:rPr>
                <w:rFonts w:cs="Arial"/>
                <w:b/>
                <w:sz w:val="20"/>
                <w:szCs w:val="20"/>
              </w:rPr>
              <w:t>(UA Critical)</w:t>
            </w:r>
          </w:p>
        </w:tc>
      </w:tr>
      <w:tr w:rsidR="003C1593" w14:paraId="1EEA4810" w14:textId="77777777">
        <w:tc>
          <w:tcPr>
            <w:tcW w:w="1384" w:type="dxa"/>
            <w:vAlign w:val="center"/>
          </w:tcPr>
          <w:p w14:paraId="2BE8013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E8365AE"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1E0C816"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768C1D7"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8E14AB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5FD3BC1"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C1593" w14:paraId="7C1B10CF" w14:textId="77777777">
        <w:tc>
          <w:tcPr>
            <w:tcW w:w="1384" w:type="dxa"/>
            <w:vAlign w:val="center"/>
          </w:tcPr>
          <w:p w14:paraId="1CDB4556"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2FFBE93"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83EC812"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B8E3CFF"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C6D00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827DB77"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560D853"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F57BD3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402073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CDBEA4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3C1593" w14:paraId="34C9502A" w14:textId="77777777">
        <w:tc>
          <w:tcPr>
            <w:tcW w:w="0" w:type="auto"/>
          </w:tcPr>
          <w:p w14:paraId="3BB8689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C91097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245B2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C1593" w14:paraId="31D55A61" w14:textId="77777777">
        <w:tc>
          <w:tcPr>
            <w:tcW w:w="0" w:type="auto"/>
          </w:tcPr>
          <w:p w14:paraId="2A153E2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BFEA21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29DBF46" w14:textId="77777777" w:rsidR="00EB7645" w:rsidRPr="00BE00C7" w:rsidRDefault="00000000" w:rsidP="00BE00C7">
            <w:pPr>
              <w:pStyle w:val="OutcomeDescription"/>
              <w:spacing w:before="120" w:after="120"/>
              <w:rPr>
                <w:rFonts w:cs="Arial"/>
                <w:lang w:eastAsia="en-NZ"/>
              </w:rPr>
            </w:pPr>
          </w:p>
        </w:tc>
        <w:tc>
          <w:tcPr>
            <w:tcW w:w="0" w:type="auto"/>
          </w:tcPr>
          <w:p w14:paraId="38BFB5A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A782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which Bupa Fergusson utilise as part of their strategy to embed and enact Te Tiriti o Waitangi in all aspects of service delivery. At the time of the audit, there were Māori staff and residents who confirmed in interview that mana motuhake is recognised. The service has a relationship with Orongamai marae including support from kaumātua. </w:t>
            </w:r>
          </w:p>
          <w:p w14:paraId="0E5018D5" w14:textId="77777777" w:rsidR="00EB7645" w:rsidRPr="00BE00C7" w:rsidRDefault="00000000" w:rsidP="00BE00C7">
            <w:pPr>
              <w:pStyle w:val="OutcomeDescription"/>
              <w:spacing w:before="120" w:after="120"/>
              <w:rPr>
                <w:rFonts w:cs="Arial"/>
                <w:lang w:eastAsia="en-NZ"/>
              </w:rPr>
            </w:pPr>
          </w:p>
        </w:tc>
      </w:tr>
      <w:tr w:rsidR="003C1593" w14:paraId="6B2B7589" w14:textId="77777777">
        <w:tc>
          <w:tcPr>
            <w:tcW w:w="0" w:type="auto"/>
          </w:tcPr>
          <w:p w14:paraId="60F8FB2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0B6BF68" w14:textId="09C67B44"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2DD9DE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467A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Ola Manuia Pacific Health and Action Plan, and Te Mana Ola are the chosen models for the Pacific health plan and Pathways to Pacific Peoples Health Equity Policy. At the time of the audit, there were Pacific staff who could confirm that cultural safety for Pacific peoples, their worldviews, cultural, and spiritual beliefs are embraced at Bupa Fergusson. There were Pacific residents at the time of the audit. </w:t>
            </w:r>
          </w:p>
          <w:p w14:paraId="1CD67AA3" w14:textId="77777777" w:rsidR="00EB7645" w:rsidRPr="00BE00C7" w:rsidRDefault="00000000" w:rsidP="00BE00C7">
            <w:pPr>
              <w:pStyle w:val="OutcomeDescription"/>
              <w:spacing w:before="120" w:after="120"/>
              <w:rPr>
                <w:rFonts w:cs="Arial"/>
                <w:lang w:eastAsia="en-NZ"/>
              </w:rPr>
            </w:pPr>
          </w:p>
        </w:tc>
      </w:tr>
      <w:tr w:rsidR="003C1593" w14:paraId="6CA60793" w14:textId="77777777">
        <w:tc>
          <w:tcPr>
            <w:tcW w:w="0" w:type="auto"/>
          </w:tcPr>
          <w:p w14:paraId="7D48FD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420FE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0D7A8D7" w14:textId="77777777" w:rsidR="00EB7645" w:rsidRPr="00BE00C7" w:rsidRDefault="00000000" w:rsidP="00BE00C7">
            <w:pPr>
              <w:pStyle w:val="OutcomeDescription"/>
              <w:spacing w:before="120" w:after="120"/>
              <w:rPr>
                <w:rFonts w:cs="Arial"/>
                <w:lang w:eastAsia="en-NZ"/>
              </w:rPr>
            </w:pPr>
          </w:p>
        </w:tc>
        <w:tc>
          <w:tcPr>
            <w:tcW w:w="0" w:type="auto"/>
          </w:tcPr>
          <w:p w14:paraId="5C7500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9457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general manager and clinical manager (interviewed) demonstrated how the Code is provided in welcome packs in the language most appropriate for the resident to ensure they are fully informed of their rights. </w:t>
            </w:r>
          </w:p>
          <w:p w14:paraId="48DD4B7E" w14:textId="77777777" w:rsidR="00EB7645" w:rsidRPr="00BE00C7" w:rsidRDefault="00000000" w:rsidP="00BE00C7">
            <w:pPr>
              <w:pStyle w:val="OutcomeDescription"/>
              <w:spacing w:before="120" w:after="120"/>
              <w:rPr>
                <w:rFonts w:cs="Arial"/>
                <w:lang w:eastAsia="en-NZ"/>
              </w:rPr>
            </w:pPr>
          </w:p>
        </w:tc>
      </w:tr>
      <w:tr w:rsidR="003C1593" w14:paraId="6355C436" w14:textId="77777777">
        <w:tc>
          <w:tcPr>
            <w:tcW w:w="0" w:type="auto"/>
          </w:tcPr>
          <w:p w14:paraId="387D74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FE4CA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731DB9E" w14:textId="77777777" w:rsidR="00EB7645" w:rsidRPr="00BE00C7" w:rsidRDefault="00000000" w:rsidP="00BE00C7">
            <w:pPr>
              <w:pStyle w:val="OutcomeDescription"/>
              <w:spacing w:before="120" w:after="120"/>
              <w:rPr>
                <w:rFonts w:cs="Arial"/>
                <w:lang w:eastAsia="en-NZ"/>
              </w:rPr>
            </w:pPr>
          </w:p>
        </w:tc>
        <w:tc>
          <w:tcPr>
            <w:tcW w:w="0" w:type="auto"/>
          </w:tcPr>
          <w:p w14:paraId="5EC308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2DCB5E"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Fergusson’s policies prevent any form of institutional racism, discrimination, coercion, harassment, or any other exploitation. There are established policies and protocols to respect resident’s property, including an established process to manage and protect resident finances which are implemented.</w:t>
            </w:r>
          </w:p>
          <w:p w14:paraId="26DFC3A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at Bupa Fergusson are trained in and aware of professional boundaries, as evidenced in orientation documents and ongoing education records. Staff interviewed (six caregivers, six registered nurses, two maintenance coordinators and kitchen manager) demonstrated an understanding of professional boundaries when interviewed.</w:t>
            </w:r>
          </w:p>
          <w:p w14:paraId="71624DF6" w14:textId="77777777" w:rsidR="00EB7645" w:rsidRPr="00BE00C7" w:rsidRDefault="00000000" w:rsidP="00BE00C7">
            <w:pPr>
              <w:pStyle w:val="OutcomeDescription"/>
              <w:spacing w:before="120" w:after="120"/>
              <w:rPr>
                <w:rFonts w:cs="Arial"/>
                <w:lang w:eastAsia="en-NZ"/>
              </w:rPr>
            </w:pPr>
          </w:p>
        </w:tc>
      </w:tr>
      <w:tr w:rsidR="003C1593" w14:paraId="559C8645" w14:textId="77777777">
        <w:tc>
          <w:tcPr>
            <w:tcW w:w="0" w:type="auto"/>
          </w:tcPr>
          <w:p w14:paraId="6C5530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B3438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3D568EB5" w14:textId="77777777" w:rsidR="00EB7645" w:rsidRPr="00BE00C7" w:rsidRDefault="00000000" w:rsidP="00BE00C7">
            <w:pPr>
              <w:pStyle w:val="OutcomeDescription"/>
              <w:spacing w:before="120" w:after="120"/>
              <w:rPr>
                <w:rFonts w:cs="Arial"/>
                <w:lang w:eastAsia="en-NZ"/>
              </w:rPr>
            </w:pPr>
          </w:p>
        </w:tc>
        <w:tc>
          <w:tcPr>
            <w:tcW w:w="0" w:type="auto"/>
          </w:tcPr>
          <w:p w14:paraId="3CAD7C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934C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organisational policies around informed consent. Staff and management have a good understanding of the organisational process to ensure informed consent for all residents (including Māori, who may wish to involve whānau for collective decision making). Interviews with three family/whānau (one rest home and two dementia), and six residents (one hospital and five rest home) confirmed their choices regarding decisions and their wellbeing is respected.</w:t>
            </w:r>
          </w:p>
          <w:p w14:paraId="3BEEDCE1" w14:textId="77777777" w:rsidR="00EB7645" w:rsidRPr="00BE00C7" w:rsidRDefault="00000000" w:rsidP="00BE00C7">
            <w:pPr>
              <w:pStyle w:val="OutcomeDescription"/>
              <w:spacing w:before="120" w:after="120"/>
              <w:rPr>
                <w:rFonts w:cs="Arial"/>
                <w:lang w:eastAsia="en-NZ"/>
              </w:rPr>
            </w:pPr>
          </w:p>
        </w:tc>
      </w:tr>
      <w:tr w:rsidR="003C1593" w14:paraId="2920ED3F" w14:textId="77777777">
        <w:tc>
          <w:tcPr>
            <w:tcW w:w="0" w:type="auto"/>
          </w:tcPr>
          <w:p w14:paraId="70D7D96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3BD65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3E7A716" w14:textId="77777777" w:rsidR="00EB7645" w:rsidRPr="00BE00C7" w:rsidRDefault="00000000" w:rsidP="00BE00C7">
            <w:pPr>
              <w:pStyle w:val="OutcomeDescription"/>
              <w:spacing w:before="120" w:after="120"/>
              <w:rPr>
                <w:rFonts w:cs="Arial"/>
                <w:lang w:eastAsia="en-NZ"/>
              </w:rPr>
            </w:pPr>
          </w:p>
        </w:tc>
        <w:tc>
          <w:tcPr>
            <w:tcW w:w="0" w:type="auto"/>
          </w:tcPr>
          <w:p w14:paraId="5901D73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A9A2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w:t>
            </w:r>
          </w:p>
          <w:p w14:paraId="24BAED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which includes all complaints, dates and actions taken. There have been 17 complaints made since previous audit with themes related to care, staffing, food, and communication. There have been no external complaints. </w:t>
            </w:r>
          </w:p>
          <w:p w14:paraId="324258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that complaints are being managed in accordance with guidelines set by the Health and Disability Commissioner. Discussions with residents and family/whānau members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general manager acknowledged their understanding that for Māori there is a preference for face-to-face communication and to include whānau participation. </w:t>
            </w:r>
          </w:p>
          <w:p w14:paraId="365D01F5" w14:textId="77777777" w:rsidR="00EB7645" w:rsidRPr="00BE00C7" w:rsidRDefault="00000000" w:rsidP="00BE00C7">
            <w:pPr>
              <w:pStyle w:val="OutcomeDescription"/>
              <w:spacing w:before="120" w:after="120"/>
              <w:rPr>
                <w:rFonts w:cs="Arial"/>
                <w:lang w:eastAsia="en-NZ"/>
              </w:rPr>
            </w:pPr>
          </w:p>
        </w:tc>
      </w:tr>
      <w:tr w:rsidR="003C1593" w14:paraId="791C76F5" w14:textId="77777777">
        <w:tc>
          <w:tcPr>
            <w:tcW w:w="0" w:type="auto"/>
          </w:tcPr>
          <w:p w14:paraId="6F3A4A2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A3C74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6C481F45" w14:textId="77777777" w:rsidR="00EB7645" w:rsidRPr="00BE00C7" w:rsidRDefault="00000000" w:rsidP="00BE00C7">
            <w:pPr>
              <w:pStyle w:val="OutcomeDescription"/>
              <w:spacing w:before="120" w:after="120"/>
              <w:rPr>
                <w:rFonts w:cs="Arial"/>
                <w:lang w:eastAsia="en-NZ"/>
              </w:rPr>
            </w:pPr>
          </w:p>
        </w:tc>
        <w:tc>
          <w:tcPr>
            <w:tcW w:w="0" w:type="auto"/>
          </w:tcPr>
          <w:p w14:paraId="25E488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6718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Fergusson provides hospital, rest home and dementia level care for up to 112 residents. Occupancy on the day of audit was 106 residents. </w:t>
            </w:r>
          </w:p>
          <w:p w14:paraId="4D2811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53 rest home level care beds including 10 dual purpose beds (rest home and hospital), 41 Hospital level care beds and 18 dementia beds. On the day of the audit, there were 48 rest home level care residents including two on respite and one on younger person with disability contract; 40 hospital level care residents, including one on Accident Compensation Corporation funding (ACC) and three on younger person with disability </w:t>
            </w:r>
            <w:r w:rsidRPr="00BE00C7">
              <w:rPr>
                <w:rFonts w:cs="Arial"/>
                <w:lang w:eastAsia="en-NZ"/>
              </w:rPr>
              <w:lastRenderedPageBreak/>
              <w:t xml:space="preserve">(YPD) contract; and 18 dementia level care residents. All remaining hospital, rest home, and dementia residents were under the age-related residential care contract (ARRC).  </w:t>
            </w:r>
          </w:p>
          <w:p w14:paraId="152CC8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Leadership team (LT) of Bupa is the governing body of Bupa and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 Bupa has developed a te ao Māori health strategy to introduce and implement te ao Māori related standards with a Māori cultural adviser. Bupa has engaged with a cultural advisor to work alongside the Bupa Leadership team. </w:t>
            </w:r>
          </w:p>
          <w:p w14:paraId="7205AD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 three-year strategic business and operational plan which aligns to Bupa global strategy and the ambition to be the world’s most customer-centric healthcare company. The business and operational plan is reviewed annually by the leadership team as part of strategy and planning. This consists of three key performance indicators (KPI’s), that will measure customer care touchpoints and feedback, and six strategic and enabling pillars of Customers, Growth, Transformation, Sustainability enabled by Data, and an Agile Culture. The enabling sustainability pillar include plans to: strengthen policies, governance, and transparency to support health and wellbeing of residents, and improved outcomes for all residents. Increase diversity and inclusion of the principles of Te Tiriti o Waitangi and growth of te ao Māori and Pacific world view in the organisation. Each care home sets annual quality goals at the beginning of the year based on improving outcomes from the internal quality programme. Goals are regularly reviewed, discussed at quality meetings and other forums and outcomes are measured to demonstrate progression towards meeting goals. </w:t>
            </w:r>
          </w:p>
          <w:p w14:paraId="5EE913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 clinical governance committee (CGC) with terms of reference. There is a quarterly CGC meeting and a CGC pack produced and distributed to the committee members prior to meetings, which includes review of quality and risk management systems. There is a risk governance committee (RGC) which aligns and interfaces with the CGC to manage quality and risk systems. The customer service improvement team (CSI) includes clinical specialists in restraint, infection control and adverse event investigations and a customer engagement advisor. The organisation benchmarks quality data across Bupa and with other NZ aged care </w:t>
            </w:r>
            <w:r w:rsidRPr="00BE00C7">
              <w:rPr>
                <w:rFonts w:cs="Arial"/>
                <w:lang w:eastAsia="en-NZ"/>
              </w:rPr>
              <w:lastRenderedPageBreak/>
              <w:t xml:space="preserve">providers. Each region has a clinical quality partner who supports the on-site clinical team with education, trend review and management. </w:t>
            </w:r>
          </w:p>
          <w:p w14:paraId="2E9DC5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has a Māori Health Strategy and Health Equity policy. Bupa engaged an external consultant who has worked closely with the Bupa Leadership team and the Bupa Australia and New Zealand (Bupa ANZ) Board to understand current state and develop plans for maturity in this area. The Towards Māori Health Equity policy states Bupa is committed to achieving Māori health equity for residents in their care homes by responding to the individual and collectives needs of residents who identify as Māori, to ensure they live longer, healthier, happier lives. </w:t>
            </w:r>
          </w:p>
          <w:p w14:paraId="75A9F6B2" w14:textId="77777777" w:rsidR="00EB7645" w:rsidRPr="00BE00C7" w:rsidRDefault="00000000" w:rsidP="00BE00C7">
            <w:pPr>
              <w:pStyle w:val="OutcomeDescription"/>
              <w:spacing w:before="120" w:after="120"/>
              <w:rPr>
                <w:rFonts w:cs="Arial"/>
                <w:lang w:eastAsia="en-NZ"/>
              </w:rPr>
            </w:pPr>
            <w:r w:rsidRPr="00BE00C7">
              <w:rPr>
                <w:rFonts w:cs="Arial"/>
                <w:lang w:eastAsia="en-NZ"/>
              </w:rPr>
              <w:t>A vision, mission statement and objectives are in place. Annual goals for Bupa Fergusson have been determined, which link to the overarching Bupa strategic plan. Goals are regularly reviewed in each monthly meeting. The quality programme includes a quality programme policy, quality goals (including site specific business goals) that are reviewed monthly in meetings, quality meetings and quality action forms that are completed for any quality improvements/initiatives during the year.</w:t>
            </w:r>
          </w:p>
          <w:p w14:paraId="146A10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general manager who has been with Bupa Fergusson for 18 months. They have an extensive background in management in healthcare related sector. The general manager is supported by a clinical manager who has been in the role for two years, and the wider Bupa management team, that includes the regional operations manager and regional quality partner (both of whom were present on the day of the audit).</w:t>
            </w:r>
          </w:p>
          <w:p w14:paraId="44046ED3" w14:textId="77777777" w:rsidR="00EB7645" w:rsidRPr="00BE00C7" w:rsidRDefault="00000000" w:rsidP="00BE00C7">
            <w:pPr>
              <w:pStyle w:val="OutcomeDescription"/>
              <w:spacing w:before="120" w:after="120"/>
              <w:rPr>
                <w:rFonts w:cs="Arial"/>
                <w:lang w:eastAsia="en-NZ"/>
              </w:rPr>
            </w:pPr>
          </w:p>
        </w:tc>
      </w:tr>
      <w:tr w:rsidR="003C1593" w14:paraId="17975A96" w14:textId="77777777">
        <w:tc>
          <w:tcPr>
            <w:tcW w:w="0" w:type="auto"/>
          </w:tcPr>
          <w:p w14:paraId="540C7A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DD111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w:t>
            </w:r>
            <w:r w:rsidRPr="00BE00C7">
              <w:rPr>
                <w:rFonts w:cs="Arial"/>
                <w:lang w:eastAsia="en-NZ"/>
              </w:rPr>
              <w:lastRenderedPageBreak/>
              <w:t>these systems meet the needs of people using the services and our health care and support workers.</w:t>
            </w:r>
          </w:p>
          <w:p w14:paraId="589A1AD8" w14:textId="77777777" w:rsidR="00EB7645" w:rsidRPr="00BE00C7" w:rsidRDefault="00000000" w:rsidP="00BE00C7">
            <w:pPr>
              <w:pStyle w:val="OutcomeDescription"/>
              <w:spacing w:before="120" w:after="120"/>
              <w:rPr>
                <w:rFonts w:cs="Arial"/>
                <w:lang w:eastAsia="en-NZ"/>
              </w:rPr>
            </w:pPr>
          </w:p>
        </w:tc>
        <w:tc>
          <w:tcPr>
            <w:tcW w:w="0" w:type="auto"/>
          </w:tcPr>
          <w:p w14:paraId="2B04B04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DEC6006" w14:textId="77777777" w:rsidR="00EB7645" w:rsidRPr="00BE00C7" w:rsidRDefault="00000000" w:rsidP="00BE00C7">
            <w:pPr>
              <w:pStyle w:val="OutcomeDescription"/>
              <w:spacing w:before="120" w:after="120"/>
              <w:rPr>
                <w:rFonts w:cs="Arial"/>
                <w:lang w:eastAsia="en-NZ"/>
              </w:rPr>
            </w:pPr>
            <w:r w:rsidRPr="00BE00C7">
              <w:rPr>
                <w:rFonts w:cs="Arial"/>
                <w:lang w:eastAsia="en-NZ"/>
              </w:rPr>
              <w:t>Bupa Fergusson is implementing a quality and risk management programme. The quality and risk management systems include performance monitoring through internal audits and through the collection of clinical indicator data.</w:t>
            </w:r>
          </w:p>
          <w:p w14:paraId="202CAF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quality and staff meetings provide an avenue for discussions in relation to (but not limited to): quality data; health and safety; infection control/pandemic strategies; complaints received (if any); staffing; and education; however, meetings have not occurred as scheduled since previous audit. Internal audits have not been completed as scheduled. Collation of data was documented as taking place. Where corrective actions are required, these have been documented in the meeting minutes; </w:t>
            </w:r>
            <w:r w:rsidRPr="00BE00C7">
              <w:rPr>
                <w:rFonts w:cs="Arial"/>
                <w:lang w:eastAsia="en-NZ"/>
              </w:rPr>
              <w:lastRenderedPageBreak/>
              <w:t>however, there is no evidence of follow-up and sign off when completed to address service improvements. The previous audit shortfall related to HDSS:2021 #2.2.2 continues. Quality goals and progress towards attainment are discussed at meetings. Quality data and trends are added to meeting minutes and displayed on notice boards in the staffroom. Benchmarking occurs on a national level against other Bupa facilities.</w:t>
            </w:r>
          </w:p>
          <w:p w14:paraId="6D4857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 satisfaction surveys have been completed quarterly in 2023. These have been correlated and analysed at head office and indicate that residents have reported satisfaction with the service provided. The service has been working on quality improvement related to food services in relation to the outcome results from the survey. Results have been communicated to residents in the resident and family/whānau meetings and through the newsletter (sighted). </w:t>
            </w:r>
          </w:p>
          <w:p w14:paraId="0B4F4F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Fergusson has a comprehensive suite of organisational policies and procedures, which guide staff in the provision of care and services. Policies are regularly reviewed and have been updated to align with Ngā Paerewa NZS 8134:2021. New policies or changes to a policy are communicated to staff. A health and safety system is in place. Hazard identification forms are completed electronically, and an up-to-date hazard register was reviewed (sighted). Staff are kept informed on health and safety issues in handovers, meetings, and via toolbox talks. </w:t>
            </w:r>
          </w:p>
          <w:p w14:paraId="7CACF6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entries are completed for each incident/accident, and immediate action is documented with any follow-up action(s) required, evidenced in 12 accident/incident records reviewed. However, there were no incident reports and section 31 notifications completed for a resident admitted with three grade three and above pressure injuries whose file was reviewed on the day of the audit. The previous audit shortfall HDSS:2021 # 2.2.5 continues. Incident and accident data is collated monthly and analysed. The electronic system generates a report that goes to each operational team/governance team and generates alerts depending on the risk level. Results are discussed in the quality and staff meetings and at handover. </w:t>
            </w:r>
          </w:p>
          <w:p w14:paraId="127B36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general manager evidenced awareness of their requirement to notify relevant authorities in relation to essential notifications. There have been nine Section 31 notifications completed to notify HealthCERT of registered nurse shortage (x4 with last one completed July 2023), Covid-19 outbreak, resident absconding and previous notifications of </w:t>
            </w:r>
            <w:r w:rsidRPr="00BE00C7">
              <w:rPr>
                <w:rFonts w:cs="Arial"/>
                <w:lang w:eastAsia="en-NZ"/>
              </w:rPr>
              <w:lastRenderedPageBreak/>
              <w:t xml:space="preserve">pressure injuries grade three and above. There were nine Covid-19 outbreaks since the previous audit which were appropriately notified. </w:t>
            </w:r>
          </w:p>
          <w:p w14:paraId="1BE76842" w14:textId="77777777" w:rsidR="00EB7645" w:rsidRPr="00BE00C7" w:rsidRDefault="00000000" w:rsidP="00BE00C7">
            <w:pPr>
              <w:pStyle w:val="OutcomeDescription"/>
              <w:spacing w:before="120" w:after="120"/>
              <w:rPr>
                <w:rFonts w:cs="Arial"/>
                <w:lang w:eastAsia="en-NZ"/>
              </w:rPr>
            </w:pPr>
          </w:p>
        </w:tc>
      </w:tr>
      <w:tr w:rsidR="003C1593" w14:paraId="28544863" w14:textId="77777777">
        <w:tc>
          <w:tcPr>
            <w:tcW w:w="0" w:type="auto"/>
          </w:tcPr>
          <w:p w14:paraId="247ADF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8D240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4F05BAF" w14:textId="77777777" w:rsidR="00EB7645" w:rsidRPr="00BE00C7" w:rsidRDefault="00000000" w:rsidP="00BE00C7">
            <w:pPr>
              <w:pStyle w:val="OutcomeDescription"/>
              <w:spacing w:before="120" w:after="120"/>
              <w:rPr>
                <w:rFonts w:cs="Arial"/>
                <w:lang w:eastAsia="en-NZ"/>
              </w:rPr>
            </w:pPr>
          </w:p>
        </w:tc>
        <w:tc>
          <w:tcPr>
            <w:tcW w:w="0" w:type="auto"/>
          </w:tcPr>
          <w:p w14:paraId="23FA396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17986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including 24/7 cover with a registered nurse. Some of the registered nurses, activities staff, and a selection of caregivers hold current first aid certificates; however, there is not always a first aid trained staff member on duty 24/7 (link 4.2.3). Interviews with staff confirmed that their workload is manageable, and that management is supportive. Staff and residents are informed when there are changes to staffing levels, evidenced in staff interviews. </w:t>
            </w:r>
          </w:p>
          <w:p w14:paraId="3E28D0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and clinical manager are available Monday to Friday. On-call cover for all Bupa facilities in the region is covered by a five-week rotation of the general managers and clinical managers.</w:t>
            </w:r>
          </w:p>
          <w:p w14:paraId="3ED4E5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Bupa education and training schedule in place; however, this has not been completed for 2022 and 2023. The education and training schedule lists compulsory training, which includes Māori health, Tikanga, and Te Tiriti o Waitangi. Cultural awareness training is part of orientation and provided annually to all staff. Training to care for residents in the dementia unit includes (but is not limited to) person-first/dementia-second sessions, behaviours of concern, and de-escalation.</w:t>
            </w:r>
          </w:p>
          <w:p w14:paraId="088553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through Te Whatu Ora -Capital, Coast and Hutt Valley, and hospice. Staff participate in learning opportunities that provide them with up-to-date information on Māori health outcomes, disparities and health equity. Staff confirmed that they were provided with resources during their cultural training. These resources create opportunities for the workforce to learn about and address inequities. </w:t>
            </w:r>
          </w:p>
          <w:p w14:paraId="7DE1E5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but not limited to restraint, hand hygiene, moving and handling, and correct use of personal protective equipment. </w:t>
            </w:r>
          </w:p>
          <w:p w14:paraId="5E2AF4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supported to achieve New Zealand Qualification Authority (NZQA) qualifications. There are 56 caregivers in total – 23 caregivers have </w:t>
            </w:r>
            <w:r w:rsidRPr="00BE00C7">
              <w:rPr>
                <w:rFonts w:cs="Arial"/>
                <w:lang w:eastAsia="en-NZ"/>
              </w:rPr>
              <w:lastRenderedPageBreak/>
              <w:t>achieved Level 3 and above qualification. There are 12 caregivers rostered across the dementia unit. Three have achieved the required standards, two are enrolled, two have been employed less than  last 18 months and the remaining staff working there have been employed for more than 18 months but without the required unit standards as per ARRC E 4.5 (f).</w:t>
            </w:r>
          </w:p>
          <w:p w14:paraId="30E0157F" w14:textId="77777777" w:rsidR="00EB7645" w:rsidRPr="00BE00C7" w:rsidRDefault="00000000" w:rsidP="00BE00C7">
            <w:pPr>
              <w:pStyle w:val="OutcomeDescription"/>
              <w:spacing w:before="120" w:after="120"/>
              <w:rPr>
                <w:rFonts w:cs="Arial"/>
                <w:lang w:eastAsia="en-NZ"/>
              </w:rPr>
            </w:pPr>
            <w:r w:rsidRPr="00BE00C7">
              <w:rPr>
                <w:rFonts w:cs="Arial"/>
                <w:lang w:eastAsia="en-NZ"/>
              </w:rPr>
              <w:t>Caregivers who have completed NZQA level 4 and undertaken extra training complete many of the same competencies as the RN staff (e.g, restraint, medication administration, blood sugar levels and insulin administration, wound management, and management of nebuliser therapy). Additional RN specific competencies include subcutaneous fluids, syringe driver, and interRAI assessment competency. Of the 16 registered nurses employed at Bupa Fergusson, nine are interRAI trained. All RNs are encouraged to attend the Bupa qualified staff forum each year and to commence and complete a professional development recognition programme (PDRP). All RNs attend relevant quality, staff, registered nurse, restraint, health and safety, and infection control meetings when possible. A record of completion is maintained on an electronic register.</w:t>
            </w:r>
          </w:p>
          <w:p w14:paraId="1FA56D06" w14:textId="77777777" w:rsidR="00EB7645" w:rsidRPr="00BE00C7" w:rsidRDefault="00000000" w:rsidP="00BE00C7">
            <w:pPr>
              <w:pStyle w:val="OutcomeDescription"/>
              <w:spacing w:before="120" w:after="120"/>
              <w:rPr>
                <w:rFonts w:cs="Arial"/>
                <w:lang w:eastAsia="en-NZ"/>
              </w:rPr>
            </w:pPr>
          </w:p>
        </w:tc>
      </w:tr>
      <w:tr w:rsidR="003C1593" w14:paraId="6360B173" w14:textId="77777777">
        <w:tc>
          <w:tcPr>
            <w:tcW w:w="0" w:type="auto"/>
          </w:tcPr>
          <w:p w14:paraId="4469C3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8724F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45053AF" w14:textId="77777777" w:rsidR="00EB7645" w:rsidRPr="00BE00C7" w:rsidRDefault="00000000" w:rsidP="00BE00C7">
            <w:pPr>
              <w:pStyle w:val="OutcomeDescription"/>
              <w:spacing w:before="120" w:after="120"/>
              <w:rPr>
                <w:rFonts w:cs="Arial"/>
                <w:lang w:eastAsia="en-NZ"/>
              </w:rPr>
            </w:pPr>
          </w:p>
        </w:tc>
        <w:tc>
          <w:tcPr>
            <w:tcW w:w="0" w:type="auto"/>
          </w:tcPr>
          <w:p w14:paraId="58A73AD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28A05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Seven staff files were reviewed with some including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23FE27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electronic system which manages all external contractor services. The same system provides evidence that orientation of external contractors has been completed since last audit. This is an improvement upon the previous audit, and the partial attainment relating to HDSS:2021 # 2.4.4 specific to contractor orientation has been satisfied. The service has a role-specific orientation programme in place that provides new staff with relevant information for safe work practice and includes buddying when first employed. However, not all files provided evidence of orientation having been completed. Competencies are completed at orientation. The service demonstrates that the orientation programmes support RNs and caregivers to provide a culturally safe environment to Māori. Not all the staff who have </w:t>
            </w:r>
            <w:r w:rsidRPr="00BE00C7">
              <w:rPr>
                <w:rFonts w:cs="Arial"/>
                <w:lang w:eastAsia="en-NZ"/>
              </w:rPr>
              <w:lastRenderedPageBreak/>
              <w:t>been employed for a year or more have a current performance appraisal on file. The previous audit shortfall related to HDSS:2021 # 2.4.5 continues.</w:t>
            </w:r>
          </w:p>
          <w:p w14:paraId="683C10E3" w14:textId="77777777" w:rsidR="00EB7645" w:rsidRPr="00BE00C7" w:rsidRDefault="00000000" w:rsidP="00BE00C7">
            <w:pPr>
              <w:pStyle w:val="OutcomeDescription"/>
              <w:spacing w:before="120" w:after="120"/>
              <w:rPr>
                <w:rFonts w:cs="Arial"/>
                <w:lang w:eastAsia="en-NZ"/>
              </w:rPr>
            </w:pPr>
          </w:p>
        </w:tc>
      </w:tr>
      <w:tr w:rsidR="003C1593" w14:paraId="4C3AEA93" w14:textId="77777777">
        <w:tc>
          <w:tcPr>
            <w:tcW w:w="0" w:type="auto"/>
          </w:tcPr>
          <w:p w14:paraId="0F8472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72C5D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C0CBBA4" w14:textId="77777777" w:rsidR="00EB7645" w:rsidRPr="00BE00C7" w:rsidRDefault="00000000" w:rsidP="00BE00C7">
            <w:pPr>
              <w:pStyle w:val="OutcomeDescription"/>
              <w:spacing w:before="120" w:after="120"/>
              <w:rPr>
                <w:rFonts w:cs="Arial"/>
                <w:lang w:eastAsia="en-NZ"/>
              </w:rPr>
            </w:pPr>
          </w:p>
        </w:tc>
        <w:tc>
          <w:tcPr>
            <w:tcW w:w="0" w:type="auto"/>
          </w:tcPr>
          <w:p w14:paraId="7F8753D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A9954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resident and staff management systems. Electronic information is regularly backed-up using cloud-based technology and password protected.  V-care electronic resident management system was implemented for the resident records by the service.  Records are uniquely identifiable, legible, and timely, with electronically documented signatures including designation of the service provider. This is an improvement upon the previous audit, and the partial attainment relating to HDSS:2021 # 2.5.1 has been satisfied.</w:t>
            </w:r>
          </w:p>
          <w:p w14:paraId="55D0F459" w14:textId="77777777" w:rsidR="00EB7645" w:rsidRPr="00BE00C7" w:rsidRDefault="00000000" w:rsidP="00BE00C7">
            <w:pPr>
              <w:pStyle w:val="OutcomeDescription"/>
              <w:spacing w:before="120" w:after="120"/>
              <w:rPr>
                <w:rFonts w:cs="Arial"/>
                <w:lang w:eastAsia="en-NZ"/>
              </w:rPr>
            </w:pPr>
          </w:p>
        </w:tc>
      </w:tr>
      <w:tr w:rsidR="003C1593" w14:paraId="0D90850D" w14:textId="77777777">
        <w:tc>
          <w:tcPr>
            <w:tcW w:w="0" w:type="auto"/>
          </w:tcPr>
          <w:p w14:paraId="0B45E6F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3BB4C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37B6D17" w14:textId="77777777" w:rsidR="00EB7645" w:rsidRPr="00BE00C7" w:rsidRDefault="00000000" w:rsidP="00BE00C7">
            <w:pPr>
              <w:pStyle w:val="OutcomeDescription"/>
              <w:spacing w:before="120" w:after="120"/>
              <w:rPr>
                <w:rFonts w:cs="Arial"/>
                <w:lang w:eastAsia="en-NZ"/>
              </w:rPr>
            </w:pPr>
          </w:p>
        </w:tc>
        <w:tc>
          <w:tcPr>
            <w:tcW w:w="0" w:type="auto"/>
          </w:tcPr>
          <w:p w14:paraId="0114C5F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4FAD6C5"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resident files were reviewed: one dementia; three hospital resident files, including one on Accident Compensation Corporation funding; and three rest home residents including one younger person with a disability and one respite resident. All other residents were under the age-related residential care (ARRC) agreement. The registered nurses (RN) are responsible for all residents’ assessments, care planning and evaluation of care. Care plans are based on data collected during the initial nursing assessments, which include dietary needs, pressure injury, falls risk, social history, and information from pre-entry assessments completed by the NASC or other referral agencies.</w:t>
            </w:r>
          </w:p>
          <w:p w14:paraId="760DEE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initial care plans were completed for residents, detailing needs, and preferences within required timeframes. The individualised long-term care plans (LTCPs) are developed with information gathered during the initial assessments and the interRAI assessment however not all interRAI assessments and long-term care plans were complete within three weeks of admission. </w:t>
            </w:r>
          </w:p>
          <w:p w14:paraId="0F8C2C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Documented interventions and early warning signs meet the residents’ assessed needs; however, not all care plans had detailed interventions to provide guidance to care staff in the delivery of care. The activity assessments include a cultural assessment which gathers information about </w:t>
            </w:r>
            <w:r w:rsidRPr="00BE00C7">
              <w:rPr>
                <w:rFonts w:cs="Arial"/>
                <w:lang w:eastAsia="en-NZ"/>
              </w:rPr>
              <w:lastRenderedPageBreak/>
              <w:t xml:space="preserve">cultural needs, values, and beliefs. Information from these assessments is used to develop the resident’s individual activity care plan. </w:t>
            </w:r>
          </w:p>
          <w:p w14:paraId="0F94F5E9"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However, not all residents with short term changes to care had short-term care plans developed. Resident care is evaluated on each shift and reported at handover and in the progress notes. If any change is noted, it is reported to the RN. Long-term care plans are scheduled for six monthly evaluations in conjunction with the interRAI re-assessments and when there is a change in the resident’s condition; however, not all care plan reviews were completed as required timeframes.  Evaluations are documented by an RN and include the degree of achievement towards meeting desired goals and outcomes. Residents interviewed confirmed assessments are completed according to their needs and in the privacy of their bedrooms.</w:t>
            </w:r>
          </w:p>
          <w:p w14:paraId="60AAAE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0EEEBF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 the dementia unit have behaviour assessments and behaviour plans with associated risks and supports needed and includes strategies for managing/diversion of behaviours. The long-term care plan includes close to normal routine that reflects a 24-hour reflection of resident’s usual pattern and behaviour management strategies to assist caregivers in management of the resident behaviours. </w:t>
            </w:r>
          </w:p>
          <w:p w14:paraId="783C57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ongoing reviews by the GP within required timeframes and when their health status changes. There are two GP/NP visits a week and as required. Medical documentation and records reviewed were current. The GP and NP interviewed stated that there was good communication with the service and that they were informed of concerns in a timely manner. The contracted GP and NP are also available on call after hours for the facility. A physiotherapist visits the facility weekly and on request to review residents referred by the registered nurses. There is a physiotherapist assistant </w:t>
            </w:r>
            <w:r w:rsidRPr="00BE00C7">
              <w:rPr>
                <w:rFonts w:cs="Arial"/>
                <w:lang w:eastAsia="en-NZ"/>
              </w:rPr>
              <w:lastRenderedPageBreak/>
              <w:t>rostered five days a week who is available to assist residents. There is access to a continence specialist as required. A podiatrist visits regularly and a dietitian, speech language therapist, hospice, wound care nurse specialist and medical specialists are available as required through Te Whatu Ora – Capital, Coast and Hutt Valley</w:t>
            </w:r>
          </w:p>
          <w:p w14:paraId="3DE328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eight active wounds from seven residents, including one two stage II pressure injury and one almost healed unstageable pressure injury. </w:t>
            </w:r>
          </w:p>
          <w:p w14:paraId="4E9077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Neurological observations are recorded following un-witnessed falls; however, not all neurological observations were completed as per policy. A range of monitoring charts are available for the care staff to utilise. These include (but not limited to) monthly blood pressure and weight monitoring, bowel records and repositioning chart; however, some residents did not have regular monitoring completed for restraint monitoring. Staff interviews confirmed they are familiar with the needs of all residents in the facility and that they have access to the supplies and products they require to meet those needs. Staff receive handover at the beginning of their shift. </w:t>
            </w:r>
          </w:p>
          <w:p w14:paraId="5A947D1C" w14:textId="77777777" w:rsidR="00EB7645" w:rsidRPr="00BE00C7" w:rsidRDefault="00000000" w:rsidP="00B07528">
            <w:pPr>
              <w:pStyle w:val="OutcomeDescription"/>
              <w:spacing w:before="120" w:after="120"/>
              <w:rPr>
                <w:rFonts w:cs="Arial"/>
                <w:lang w:eastAsia="en-NZ"/>
              </w:rPr>
            </w:pPr>
          </w:p>
        </w:tc>
      </w:tr>
      <w:tr w:rsidR="003C1593" w14:paraId="71B175C1" w14:textId="77777777">
        <w:tc>
          <w:tcPr>
            <w:tcW w:w="0" w:type="auto"/>
          </w:tcPr>
          <w:p w14:paraId="7C4CEA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DBD27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CADE820" w14:textId="77777777" w:rsidR="00EB7645" w:rsidRPr="00BE00C7" w:rsidRDefault="00000000" w:rsidP="00BE00C7">
            <w:pPr>
              <w:pStyle w:val="OutcomeDescription"/>
              <w:spacing w:before="120" w:after="120"/>
              <w:rPr>
                <w:rFonts w:cs="Arial"/>
                <w:lang w:eastAsia="en-NZ"/>
              </w:rPr>
            </w:pPr>
          </w:p>
        </w:tc>
        <w:tc>
          <w:tcPr>
            <w:tcW w:w="0" w:type="auto"/>
          </w:tcPr>
          <w:p w14:paraId="46AEF3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0D2D4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7334D6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robotics rolls for regular medication and blister pack for controlled drugs and short course and bottles for ‘as required’ medications. All medications are </w:t>
            </w:r>
            <w:r w:rsidRPr="00BE00C7">
              <w:rPr>
                <w:rFonts w:cs="Arial"/>
                <w:lang w:eastAsia="en-NZ"/>
              </w:rPr>
              <w:lastRenderedPageBreak/>
              <w:t xml:space="preserve">checked on delivery against the medication chart and any discrepancies are fed back to the supplying pharmacy. </w:t>
            </w:r>
          </w:p>
          <w:p w14:paraId="4D211891"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facility medication room. The medication fridge and medication room temperatures are monitored daily; however, these were not done consistently and did not always meet required ranges. All stored medications are checked weekly. Eyedrops have not always been dated on opening. Controlled medications are stored as required; however, weekly checks have not always been competed as per policy.</w:t>
            </w:r>
          </w:p>
          <w:p w14:paraId="09B83F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Fourteen electronic medication charts were reviewed. The medication charts reviewed identified that the GP had reviewed all resident medication charts three-monthly, and each drug chart has a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One respite resident did not have a signed medication chart, did not evidence photo identification and did not have indications for as required medication. There were no residents self-administering medications; however, there are policies in place should a resident wish to self-administer their medications. No vaccines are kept on site and no standing orders are used. </w:t>
            </w:r>
          </w:p>
          <w:p w14:paraId="7C56CC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When medication related incidents occurred, these were investigated and followed up on.</w:t>
            </w:r>
          </w:p>
          <w:p w14:paraId="28FFA032" w14:textId="77777777" w:rsidR="00EB7645" w:rsidRPr="00BE00C7" w:rsidRDefault="00000000" w:rsidP="00BE00C7">
            <w:pPr>
              <w:pStyle w:val="OutcomeDescription"/>
              <w:spacing w:before="120" w:after="120"/>
              <w:rPr>
                <w:rFonts w:cs="Arial"/>
                <w:lang w:eastAsia="en-NZ"/>
              </w:rPr>
            </w:pPr>
          </w:p>
        </w:tc>
      </w:tr>
      <w:tr w:rsidR="003C1593" w14:paraId="285E271F" w14:textId="77777777">
        <w:tc>
          <w:tcPr>
            <w:tcW w:w="0" w:type="auto"/>
          </w:tcPr>
          <w:p w14:paraId="3FFF53E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14319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4646F589" w14:textId="77777777" w:rsidR="00EB7645" w:rsidRPr="00BE00C7" w:rsidRDefault="00000000" w:rsidP="00BE00C7">
            <w:pPr>
              <w:pStyle w:val="OutcomeDescription"/>
              <w:spacing w:before="120" w:after="120"/>
              <w:rPr>
                <w:rFonts w:cs="Arial"/>
                <w:lang w:eastAsia="en-NZ"/>
              </w:rPr>
            </w:pPr>
          </w:p>
        </w:tc>
        <w:tc>
          <w:tcPr>
            <w:tcW w:w="0" w:type="auto"/>
          </w:tcPr>
          <w:p w14:paraId="2B4671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7AF2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four-week seasonal menu is reviewed by a registered dietitian. Food preferences and cultural preferences are included into the menu. The kitchen receives resident dietary forms and is notified of any dietary changes for residents. Dislikes and special dietary requirements are accommodated, including food allergies. The kitchen manager interviewed reported they accommodate residents’ requests. Nutritious snacks were available 24/7 in all units. </w:t>
            </w:r>
          </w:p>
          <w:p w14:paraId="2FBF0B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is a verified food control plan expiring 22 September 2024. The residents and family/whānau interviewed were complimentary regarding the standard of food provided.</w:t>
            </w:r>
          </w:p>
          <w:p w14:paraId="4F3110CB" w14:textId="77777777" w:rsidR="00EB7645" w:rsidRPr="00BE00C7" w:rsidRDefault="00000000" w:rsidP="00BE00C7">
            <w:pPr>
              <w:pStyle w:val="OutcomeDescription"/>
              <w:spacing w:before="120" w:after="120"/>
              <w:rPr>
                <w:rFonts w:cs="Arial"/>
                <w:lang w:eastAsia="en-NZ"/>
              </w:rPr>
            </w:pPr>
          </w:p>
        </w:tc>
      </w:tr>
      <w:tr w:rsidR="003C1593" w14:paraId="0DEBB69C" w14:textId="77777777">
        <w:tc>
          <w:tcPr>
            <w:tcW w:w="0" w:type="auto"/>
          </w:tcPr>
          <w:p w14:paraId="3F0F8E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2EA08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74426F9" w14:textId="77777777" w:rsidR="00EB7645" w:rsidRPr="00BE00C7" w:rsidRDefault="00000000" w:rsidP="00BE00C7">
            <w:pPr>
              <w:pStyle w:val="OutcomeDescription"/>
              <w:spacing w:before="120" w:after="120"/>
              <w:rPr>
                <w:rFonts w:cs="Arial"/>
                <w:lang w:eastAsia="en-NZ"/>
              </w:rPr>
            </w:pPr>
          </w:p>
        </w:tc>
        <w:tc>
          <w:tcPr>
            <w:tcW w:w="0" w:type="auto"/>
          </w:tcPr>
          <w:p w14:paraId="0C98248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BD41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w:t>
            </w:r>
          </w:p>
          <w:p w14:paraId="4E7587E8" w14:textId="77777777" w:rsidR="00EB7645" w:rsidRPr="00BE00C7" w:rsidRDefault="00000000" w:rsidP="00BE00C7">
            <w:pPr>
              <w:pStyle w:val="OutcomeDescription"/>
              <w:spacing w:before="120" w:after="120"/>
              <w:rPr>
                <w:rFonts w:cs="Arial"/>
                <w:lang w:eastAsia="en-NZ"/>
              </w:rPr>
            </w:pPr>
          </w:p>
        </w:tc>
      </w:tr>
      <w:tr w:rsidR="003C1593" w14:paraId="340ADC88" w14:textId="77777777">
        <w:tc>
          <w:tcPr>
            <w:tcW w:w="0" w:type="auto"/>
          </w:tcPr>
          <w:p w14:paraId="26C944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25BAD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21D25B4" w14:textId="77777777" w:rsidR="00EB7645" w:rsidRPr="00BE00C7" w:rsidRDefault="00000000" w:rsidP="00BE00C7">
            <w:pPr>
              <w:pStyle w:val="OutcomeDescription"/>
              <w:spacing w:before="120" w:after="120"/>
              <w:rPr>
                <w:rFonts w:cs="Arial"/>
                <w:lang w:eastAsia="en-NZ"/>
              </w:rPr>
            </w:pPr>
          </w:p>
        </w:tc>
        <w:tc>
          <w:tcPr>
            <w:tcW w:w="0" w:type="auto"/>
          </w:tcPr>
          <w:p w14:paraId="133C486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B355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Bupa Ferguson. The building has a current building warrant of fitness, expiring November 2024. The environment is inclusive of people’s cultures and supports cultural practices. </w:t>
            </w:r>
          </w:p>
          <w:p w14:paraId="1CF1D8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five maintenance request books located in each nurse station, kitchen, and reception. Books are checked daily for repair and maintenance requests located at the front desk. Equipment failure or issues are also recorded in the maintenance book. This is checked daily and signed off when repairs have been completed.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recordings reviewed had corrective actions undertaken when outside of expected ranges.</w:t>
            </w:r>
          </w:p>
          <w:p w14:paraId="04FB341D" w14:textId="77777777" w:rsidR="00EB7645" w:rsidRPr="00BE00C7" w:rsidRDefault="00000000" w:rsidP="00BE00C7">
            <w:pPr>
              <w:pStyle w:val="OutcomeDescription"/>
              <w:spacing w:before="120" w:after="120"/>
              <w:rPr>
                <w:rFonts w:cs="Arial"/>
                <w:lang w:eastAsia="en-NZ"/>
              </w:rPr>
            </w:pPr>
          </w:p>
        </w:tc>
      </w:tr>
      <w:tr w:rsidR="003C1593" w14:paraId="3190D74F" w14:textId="77777777">
        <w:tc>
          <w:tcPr>
            <w:tcW w:w="0" w:type="auto"/>
          </w:tcPr>
          <w:p w14:paraId="1FBB16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756AA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2DDCEF2" w14:textId="77777777" w:rsidR="00EB7645" w:rsidRPr="00BE00C7" w:rsidRDefault="00000000" w:rsidP="00BE00C7">
            <w:pPr>
              <w:pStyle w:val="OutcomeDescription"/>
              <w:spacing w:before="120" w:after="120"/>
              <w:rPr>
                <w:rFonts w:cs="Arial"/>
                <w:lang w:eastAsia="en-NZ"/>
              </w:rPr>
            </w:pPr>
          </w:p>
        </w:tc>
        <w:tc>
          <w:tcPr>
            <w:tcW w:w="0" w:type="auto"/>
          </w:tcPr>
          <w:p w14:paraId="1258BA3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0EC68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Civil defence supplies are stored in an identified cupboard. In the event of a power outage there is back-up power available and gas cooking. There are food supplies and stored water available in the event of a civil defence emergency with sufficient water stores to meet Civil Defence Greater Wellington emergency requirements. The previous partial attainment (# 4.2.2 and 4.2.4) have been addressed. Emergency management is included in staff orientation and is also ongoing as part of the education plan. </w:t>
            </w:r>
          </w:p>
          <w:p w14:paraId="3862D762"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the audit, the roster evidenced several shifts where there was not a first aid trained staff member rostered on shift. This is an ongoing identified shortfall.</w:t>
            </w:r>
          </w:p>
          <w:p w14:paraId="42EDA2F1" w14:textId="77777777" w:rsidR="00EB7645" w:rsidRPr="00BE00C7" w:rsidRDefault="00000000" w:rsidP="00BE00C7">
            <w:pPr>
              <w:pStyle w:val="OutcomeDescription"/>
              <w:spacing w:before="120" w:after="120"/>
              <w:rPr>
                <w:rFonts w:cs="Arial"/>
                <w:lang w:eastAsia="en-NZ"/>
              </w:rPr>
            </w:pPr>
          </w:p>
        </w:tc>
      </w:tr>
      <w:tr w:rsidR="003C1593" w14:paraId="3739BE58" w14:textId="77777777">
        <w:tc>
          <w:tcPr>
            <w:tcW w:w="0" w:type="auto"/>
          </w:tcPr>
          <w:p w14:paraId="1CA0D0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07675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B903293" w14:textId="77777777" w:rsidR="00EB7645" w:rsidRPr="00BE00C7" w:rsidRDefault="00000000" w:rsidP="00BE00C7">
            <w:pPr>
              <w:pStyle w:val="OutcomeDescription"/>
              <w:spacing w:before="120" w:after="120"/>
              <w:rPr>
                <w:rFonts w:cs="Arial"/>
                <w:lang w:eastAsia="en-NZ"/>
              </w:rPr>
            </w:pPr>
          </w:p>
        </w:tc>
        <w:tc>
          <w:tcPr>
            <w:tcW w:w="0" w:type="auto"/>
          </w:tcPr>
          <w:p w14:paraId="25F0F37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B9E4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includes the pandemic plan. This links to the overarching quality programme and is reviewed, evaluated, and reported on annually. </w:t>
            </w:r>
          </w:p>
          <w:p w14:paraId="217407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(but is not limited to): standard precautions; isolation procedures; hand washing competencies; and donning and doffing personal protective equipment (PPE). </w:t>
            </w:r>
          </w:p>
          <w:p w14:paraId="7B459388" w14:textId="77777777" w:rsidR="00EB7645" w:rsidRPr="00BE00C7" w:rsidRDefault="00000000" w:rsidP="00BE00C7">
            <w:pPr>
              <w:pStyle w:val="OutcomeDescription"/>
              <w:spacing w:before="120" w:after="120"/>
              <w:rPr>
                <w:rFonts w:cs="Arial"/>
                <w:lang w:eastAsia="en-NZ"/>
              </w:rPr>
            </w:pPr>
          </w:p>
        </w:tc>
      </w:tr>
      <w:tr w:rsidR="003C1593" w14:paraId="079057F9" w14:textId="77777777">
        <w:tc>
          <w:tcPr>
            <w:tcW w:w="0" w:type="auto"/>
          </w:tcPr>
          <w:p w14:paraId="3D480C3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00950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051EEA6" w14:textId="77777777" w:rsidR="00EB7645" w:rsidRPr="00BE00C7" w:rsidRDefault="00000000" w:rsidP="00BE00C7">
            <w:pPr>
              <w:pStyle w:val="OutcomeDescription"/>
              <w:spacing w:before="120" w:after="120"/>
              <w:rPr>
                <w:rFonts w:cs="Arial"/>
                <w:lang w:eastAsia="en-NZ"/>
              </w:rPr>
            </w:pPr>
          </w:p>
        </w:tc>
        <w:tc>
          <w:tcPr>
            <w:tcW w:w="0" w:type="auto"/>
          </w:tcPr>
          <w:p w14:paraId="723D38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BD1D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RiskMan register, the electronic database, and the electronic resident management system. Surveillance of all infections (including organisms) is collated onto a </w:t>
            </w:r>
            <w:r w:rsidRPr="00BE00C7">
              <w:rPr>
                <w:rFonts w:cs="Arial"/>
                <w:lang w:eastAsia="en-NZ"/>
              </w:rPr>
              <w:lastRenderedPageBreak/>
              <w:t xml:space="preserve">monthly infection summary. This data is monitored and analysed for trends, monthly and annually. Benchmarking occurs with other Bupa facilities. The service incorporates ethnicity data into surveillance methods and data captured around infections. Infection control surveillance is discussed at quality, infection control, clinical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Te Whatu Ora Health- Capital, Coast and Hutt Valley. </w:t>
            </w:r>
          </w:p>
          <w:p w14:paraId="3F341035"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Education includes monitoring of antimicrobial medication, aseptic technique, and transmission-based precautions. The service has recorded nine Covid-19 outbreaks (May, July, September, November 2022 and January, February, May, June, and November 2023) since the previous audit with a range of one to at most 16 residents affected with the different events. All the outbreaks were well documented with quality improvement corrective action plans put in place for each outbreak. They were well managed and reported to Public Health.</w:t>
            </w:r>
          </w:p>
          <w:p w14:paraId="4B5E9BEB" w14:textId="77777777" w:rsidR="00EB7645" w:rsidRPr="00BE00C7" w:rsidRDefault="00000000" w:rsidP="00BE00C7">
            <w:pPr>
              <w:pStyle w:val="OutcomeDescription"/>
              <w:spacing w:before="120" w:after="120"/>
              <w:rPr>
                <w:rFonts w:cs="Arial"/>
                <w:lang w:eastAsia="en-NZ"/>
              </w:rPr>
            </w:pPr>
          </w:p>
        </w:tc>
      </w:tr>
      <w:tr w:rsidR="003C1593" w14:paraId="642DC44F" w14:textId="77777777">
        <w:tc>
          <w:tcPr>
            <w:tcW w:w="0" w:type="auto"/>
          </w:tcPr>
          <w:p w14:paraId="478B97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14075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0E0D65A" w14:textId="77777777" w:rsidR="00EB7645" w:rsidRPr="00BE00C7" w:rsidRDefault="00000000" w:rsidP="00BE00C7">
            <w:pPr>
              <w:pStyle w:val="OutcomeDescription"/>
              <w:spacing w:before="120" w:after="120"/>
              <w:rPr>
                <w:rFonts w:cs="Arial"/>
                <w:lang w:eastAsia="en-NZ"/>
              </w:rPr>
            </w:pPr>
          </w:p>
        </w:tc>
        <w:tc>
          <w:tcPr>
            <w:tcW w:w="0" w:type="auto"/>
          </w:tcPr>
          <w:p w14:paraId="3C8C0A3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6FEF49"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the service. Policies and procedures meet the requirements of the standards. The regional restraint group is responsible for the Bupa restraint elimination strategy and for monitoring restraint use in the organisation. Restraint is discussed at the clinical governance and Board level.</w:t>
            </w:r>
          </w:p>
          <w:p w14:paraId="583BBC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six hospital level care residents using restraints: one resident using bed rails and a T-belt, four residents using T- belts, and one using bed rails only. All documentation including assessments, monitoring, reviews, and updated care plans were in place for the records reviewed; however, monitoring is not always occurring as scheduled (link 3.2.4.) When restraint is used, this is a last resort when all alternatives have been explored. </w:t>
            </w:r>
          </w:p>
          <w:p w14:paraId="06BC6E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designated restraint coordinator is a registered nurse who is responsible for the coordination of the approval of the use of restraints and the restraint processes. </w:t>
            </w:r>
          </w:p>
          <w:p w14:paraId="05E018A1" w14:textId="77777777" w:rsidR="00EB7645" w:rsidRPr="00BE00C7" w:rsidRDefault="00000000" w:rsidP="00BE00C7">
            <w:pPr>
              <w:pStyle w:val="OutcomeDescription"/>
              <w:spacing w:before="120" w:after="120"/>
              <w:rPr>
                <w:rFonts w:cs="Arial"/>
                <w:lang w:eastAsia="en-NZ"/>
              </w:rPr>
            </w:pPr>
            <w:r w:rsidRPr="00BE00C7">
              <w:rPr>
                <w:rFonts w:cs="Arial"/>
                <w:lang w:eastAsia="en-NZ"/>
              </w:rPr>
              <w:t>Training for all staff occurs at orientation and annually as sighted in the training records. Staff have been trained in the least restrictive practice, safe restraint practice, alternative cultural-specific interventions, and de-escalation techniques; however, attendance has been low (link 2.3.3). Restraint competencies are completed on orientation and annually for all staff.</w:t>
            </w:r>
          </w:p>
          <w:p w14:paraId="011D82C1" w14:textId="77777777" w:rsidR="00EB7645" w:rsidRPr="00BE00C7" w:rsidRDefault="00000000" w:rsidP="00BE00C7">
            <w:pPr>
              <w:pStyle w:val="OutcomeDescription"/>
              <w:spacing w:before="120" w:after="120"/>
              <w:rPr>
                <w:rFonts w:cs="Arial"/>
                <w:lang w:eastAsia="en-NZ"/>
              </w:rPr>
            </w:pPr>
          </w:p>
        </w:tc>
      </w:tr>
    </w:tbl>
    <w:p w14:paraId="4AD0EC4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C0471F3" w14:textId="77777777" w:rsidR="00460D43" w:rsidRDefault="00000000">
      <w:pPr>
        <w:pStyle w:val="Heading1"/>
        <w:rPr>
          <w:rFonts w:cs="Arial"/>
        </w:rPr>
      </w:pPr>
      <w:r>
        <w:rPr>
          <w:rFonts w:cs="Arial"/>
        </w:rPr>
        <w:lastRenderedPageBreak/>
        <w:t>Specific results for criterion where corrective actions are required</w:t>
      </w:r>
    </w:p>
    <w:p w14:paraId="6194462D"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0551075"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w:t>
      </w:r>
      <w:r w:rsidRPr="00FB778F">
        <w:rPr>
          <w:rFonts w:cs="Arial"/>
          <w:sz w:val="24"/>
          <w:lang w:eastAsia="en-NZ"/>
        </w:rPr>
        <w:t xml:space="preserve">k, recognising Māori, and supporting Māori in their aspirations, whatever they are (that is, recognising mana motuhake) relates to subsection 1.1: Pae ora healthy futures in Section 1 Our rights. </w:t>
      </w:r>
    </w:p>
    <w:p w14:paraId="2A64FF6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309"/>
        <w:gridCol w:w="3858"/>
        <w:gridCol w:w="2784"/>
        <w:gridCol w:w="2547"/>
      </w:tblGrid>
      <w:tr w:rsidR="003C1593" w14:paraId="64825A02" w14:textId="77777777">
        <w:tc>
          <w:tcPr>
            <w:tcW w:w="0" w:type="auto"/>
          </w:tcPr>
          <w:p w14:paraId="7FA68394"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212C65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4EED8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FFA9D8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C78E1F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C1593" w14:paraId="0B4ABA6D" w14:textId="77777777">
        <w:tc>
          <w:tcPr>
            <w:tcW w:w="0" w:type="auto"/>
          </w:tcPr>
          <w:p w14:paraId="77C3FA4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34658A27"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671C68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5D9B9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Bupa uses strategic planning to analyse strengths, challenges, opportunities, and threat. This includes seeking feedback through regular surveys from staff, residents, and whānau; undertaking benchmarking against relevant clinical indicators; and demonstration of quality improvements being made and embedded into practice as a result of the outcomes. The general manager and clinical manager provide oversight to ensure that corrective action plans and quality improvements are commenced, monitored, and evaluated in line with the Bupa Quality programme policy. </w:t>
            </w:r>
          </w:p>
          <w:p w14:paraId="4CB508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quality meetings and staff meetings provide an avenue for discussions in relation to (but not limited to): quality data; health and safety; </w:t>
            </w:r>
            <w:r w:rsidRPr="00BE00C7">
              <w:rPr>
                <w:rFonts w:cs="Arial"/>
                <w:lang w:eastAsia="en-NZ"/>
              </w:rPr>
              <w:lastRenderedPageBreak/>
              <w:t xml:space="preserve">infection control/pandemic strategies; complaints received (if any); staffing; and education with corrective actions identified and documented. However, meetings and internal audits have not been completed as scheduled since last audit. The meeting minutes reviewed did not demonstrate evidence of corrective actions being followed up and signed off. </w:t>
            </w:r>
          </w:p>
          <w:p w14:paraId="58058B24" w14:textId="77777777" w:rsidR="00EB7645" w:rsidRPr="00BE00C7" w:rsidRDefault="00000000" w:rsidP="00BE00C7">
            <w:pPr>
              <w:pStyle w:val="OutcomeDescription"/>
              <w:spacing w:before="120" w:after="120"/>
              <w:rPr>
                <w:rFonts w:cs="Arial"/>
                <w:lang w:eastAsia="en-NZ"/>
              </w:rPr>
            </w:pPr>
          </w:p>
        </w:tc>
        <w:tc>
          <w:tcPr>
            <w:tcW w:w="0" w:type="auto"/>
          </w:tcPr>
          <w:p w14:paraId="67B7C3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Internal audits and meetings have not been completed as scheduled. </w:t>
            </w:r>
          </w:p>
          <w:p w14:paraId="0FE3A7B3" w14:textId="77777777" w:rsidR="00EB7645" w:rsidRPr="00BE00C7" w:rsidRDefault="00000000" w:rsidP="00BE00C7">
            <w:pPr>
              <w:pStyle w:val="OutcomeDescription"/>
              <w:spacing w:before="120" w:after="120"/>
              <w:rPr>
                <w:rFonts w:cs="Arial"/>
                <w:lang w:eastAsia="en-NZ"/>
              </w:rPr>
            </w:pPr>
            <w:r w:rsidRPr="00BE00C7">
              <w:rPr>
                <w:rFonts w:cs="Arial"/>
                <w:lang w:eastAsia="en-NZ"/>
              </w:rPr>
              <w:t>(ii). There is no evidence of corrective actions being followed up and signed off in the meeting minutes.</w:t>
            </w:r>
          </w:p>
          <w:p w14:paraId="2BA540A4" w14:textId="77777777" w:rsidR="00EB7645" w:rsidRPr="00BE00C7" w:rsidRDefault="00000000" w:rsidP="00BE00C7">
            <w:pPr>
              <w:pStyle w:val="OutcomeDescription"/>
              <w:spacing w:before="120" w:after="120"/>
              <w:rPr>
                <w:rFonts w:cs="Arial"/>
                <w:lang w:eastAsia="en-NZ"/>
              </w:rPr>
            </w:pPr>
          </w:p>
        </w:tc>
        <w:tc>
          <w:tcPr>
            <w:tcW w:w="0" w:type="auto"/>
          </w:tcPr>
          <w:p w14:paraId="7DAD9968"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that internal audits and meetings are completed as scheduled.</w:t>
            </w:r>
          </w:p>
          <w:p w14:paraId="07E336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Ensure that where corrective actions are identified; follow-up and sign off is completed as per quality programme policy. </w:t>
            </w:r>
          </w:p>
          <w:p w14:paraId="329E4428" w14:textId="77777777" w:rsidR="00EB7645" w:rsidRPr="00BE00C7" w:rsidRDefault="00000000" w:rsidP="00BE00C7">
            <w:pPr>
              <w:pStyle w:val="OutcomeDescription"/>
              <w:spacing w:before="120" w:after="120"/>
              <w:rPr>
                <w:rFonts w:cs="Arial"/>
                <w:lang w:eastAsia="en-NZ"/>
              </w:rPr>
            </w:pPr>
          </w:p>
          <w:p w14:paraId="7CA9706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4027CDBD" w14:textId="77777777">
        <w:tc>
          <w:tcPr>
            <w:tcW w:w="0" w:type="auto"/>
          </w:tcPr>
          <w:p w14:paraId="4CDE9D5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2.2.5</w:t>
            </w:r>
          </w:p>
          <w:p w14:paraId="134635B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0786BE8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74781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Incidents and accidents are completed electronically by the individual who witnessed the event, with support provided by the registered nurses. Registered nurses are then expected to document a follow-up assessment on the electronic incident report before the clinical manager review and final sign off by the general manager. A resident was admitted into hospital level care with three grade three and above pressure injuries which have been actively managed by the staff and specialist input. However, there is no evidence of incident forms being completed or followed up related to the pressure injuries. There was no section 31 completed for the grade 3 and above pressure injuries. Review of challenging behaviour related incidents evidenced that staff had implemented strategies to manage the risk and consideration put into minimise the risk of future incidents. However, two incident reports of challenging behaviour from one resident did not evidence a second incident form completed for the other resident and </w:t>
            </w:r>
            <w:r w:rsidRPr="00BE00C7">
              <w:rPr>
                <w:rFonts w:cs="Arial"/>
                <w:lang w:eastAsia="en-NZ"/>
              </w:rPr>
              <w:lastRenderedPageBreak/>
              <w:t>staff (who sustained bruises from the incident) involved / affected by the incident.</w:t>
            </w:r>
          </w:p>
          <w:p w14:paraId="6D2ECB47" w14:textId="77777777" w:rsidR="00EB7645" w:rsidRPr="00BE00C7" w:rsidRDefault="00000000" w:rsidP="00BE00C7">
            <w:pPr>
              <w:pStyle w:val="OutcomeDescription"/>
              <w:spacing w:before="120" w:after="120"/>
              <w:rPr>
                <w:rFonts w:cs="Arial"/>
                <w:lang w:eastAsia="en-NZ"/>
              </w:rPr>
            </w:pPr>
          </w:p>
        </w:tc>
        <w:tc>
          <w:tcPr>
            <w:tcW w:w="0" w:type="auto"/>
          </w:tcPr>
          <w:p w14:paraId="373950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No incident forms were completed for resident who was admitted for hospital level care in June 2023 with x 3 grade three and above pressure injuries.</w:t>
            </w:r>
          </w:p>
          <w:p w14:paraId="2CDD21BC" w14:textId="77777777" w:rsidR="00EB7645" w:rsidRPr="00BE00C7" w:rsidRDefault="00000000" w:rsidP="00BE00C7">
            <w:pPr>
              <w:pStyle w:val="OutcomeDescription"/>
              <w:spacing w:before="120" w:after="120"/>
              <w:rPr>
                <w:rFonts w:cs="Arial"/>
                <w:lang w:eastAsia="en-NZ"/>
              </w:rPr>
            </w:pPr>
            <w:r w:rsidRPr="00BE00C7">
              <w:rPr>
                <w:rFonts w:cs="Arial"/>
                <w:lang w:eastAsia="en-NZ"/>
              </w:rPr>
              <w:t>(ii). No section 31 notification was completed for same hospital level care resident in June 2023 with x 3 grade three and above pressure injuries.</w:t>
            </w:r>
          </w:p>
          <w:p w14:paraId="3A6406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Where there is a resident behaviour incident there is no corresponding incident form completed for the other resident or staff involved in the incident including where injuries where sustained.   </w:t>
            </w:r>
          </w:p>
          <w:p w14:paraId="2A60414F" w14:textId="77777777" w:rsidR="00EB7645" w:rsidRPr="00BE00C7" w:rsidRDefault="00000000" w:rsidP="00BE00C7">
            <w:pPr>
              <w:pStyle w:val="OutcomeDescription"/>
              <w:spacing w:before="120" w:after="120"/>
              <w:rPr>
                <w:rFonts w:cs="Arial"/>
                <w:lang w:eastAsia="en-NZ"/>
              </w:rPr>
            </w:pPr>
          </w:p>
        </w:tc>
        <w:tc>
          <w:tcPr>
            <w:tcW w:w="0" w:type="auto"/>
          </w:tcPr>
          <w:p w14:paraId="49B64B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Ensure event reports are completed for residents presenting with a reportable adverse event, including incident forms and section 31 reports where indicated.  </w:t>
            </w:r>
          </w:p>
          <w:p w14:paraId="71705CD0"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incident forms are completed for all staff and residents affected with resident behaviour related incidents.</w:t>
            </w:r>
          </w:p>
          <w:p w14:paraId="7EA57D9D" w14:textId="77777777" w:rsidR="00EB7645" w:rsidRPr="00BE00C7" w:rsidRDefault="00000000" w:rsidP="00BE00C7">
            <w:pPr>
              <w:pStyle w:val="OutcomeDescription"/>
              <w:spacing w:before="120" w:after="120"/>
              <w:rPr>
                <w:rFonts w:cs="Arial"/>
                <w:lang w:eastAsia="en-NZ"/>
              </w:rPr>
            </w:pPr>
          </w:p>
          <w:p w14:paraId="2DD0D92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1D5034D4" w14:textId="77777777">
        <w:tc>
          <w:tcPr>
            <w:tcW w:w="0" w:type="auto"/>
          </w:tcPr>
          <w:p w14:paraId="520CAF5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2.3.2</w:t>
            </w:r>
          </w:p>
          <w:p w14:paraId="4BAE803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007A2E0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A4581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per the Age-Related Residential Care Services Agreement with Te Whatu Ora - Capital, Coast and Hutt Valley, an aged care facility providing dementia level of care must ensure that caregivers directly involved in caring for residents in the dementia unit achieve the required unit standards within 18 months of employment. At the time of the audit, of the 12 caregivers rostered in the dementia unit, there were three caregivers who had achieved the required standards, two are enrolled, two have been employed less than 18 months, and the rest have not completed required unit standards. Review of the roster indicate that staff allocated the afternoon and night shifts have not completed the required unit standards. </w:t>
            </w:r>
          </w:p>
          <w:p w14:paraId="078C218B" w14:textId="77777777" w:rsidR="00EB7645" w:rsidRPr="00BE00C7" w:rsidRDefault="00000000" w:rsidP="00BE00C7">
            <w:pPr>
              <w:pStyle w:val="OutcomeDescription"/>
              <w:spacing w:before="120" w:after="120"/>
              <w:rPr>
                <w:rFonts w:cs="Arial"/>
                <w:lang w:eastAsia="en-NZ"/>
              </w:rPr>
            </w:pPr>
          </w:p>
        </w:tc>
        <w:tc>
          <w:tcPr>
            <w:tcW w:w="0" w:type="auto"/>
          </w:tcPr>
          <w:p w14:paraId="25EF74B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working in the dementia unit have not completed the required NZQA unit standards as per ARRC agreement E4.5f</w:t>
            </w:r>
          </w:p>
          <w:p w14:paraId="6E5D5231" w14:textId="77777777" w:rsidR="00EB7645" w:rsidRPr="00BE00C7" w:rsidRDefault="00000000" w:rsidP="00BE00C7">
            <w:pPr>
              <w:pStyle w:val="OutcomeDescription"/>
              <w:spacing w:before="120" w:after="120"/>
              <w:rPr>
                <w:rFonts w:cs="Arial"/>
                <w:lang w:eastAsia="en-NZ"/>
              </w:rPr>
            </w:pPr>
          </w:p>
        </w:tc>
        <w:tc>
          <w:tcPr>
            <w:tcW w:w="0" w:type="auto"/>
          </w:tcPr>
          <w:p w14:paraId="0D2707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staff working in the dementia unit have completed the required unit standards. </w:t>
            </w:r>
          </w:p>
          <w:p w14:paraId="2D486077" w14:textId="77777777" w:rsidR="00EB7645" w:rsidRPr="00BE00C7" w:rsidRDefault="00000000" w:rsidP="00BE00C7">
            <w:pPr>
              <w:pStyle w:val="OutcomeDescription"/>
              <w:spacing w:before="120" w:after="120"/>
              <w:rPr>
                <w:rFonts w:cs="Arial"/>
                <w:lang w:eastAsia="en-NZ"/>
              </w:rPr>
            </w:pPr>
          </w:p>
          <w:p w14:paraId="4CA97DE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484452BC" w14:textId="77777777">
        <w:tc>
          <w:tcPr>
            <w:tcW w:w="0" w:type="auto"/>
          </w:tcPr>
          <w:p w14:paraId="2907730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1DD5588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1CB1B2E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828C7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annual training programme for Bupa Fergusson care home that includes clinical and non-clinical staff training which covers mandatory topics. The general manager and clinical manager acknowledge the importance of a well-trained workforce in terms of outcomes for the residents; however, evidence sighted during the audit confirms that the training schedule / programme has not been fully </w:t>
            </w:r>
            <w:r w:rsidRPr="00BE00C7">
              <w:rPr>
                <w:rFonts w:cs="Arial"/>
                <w:lang w:eastAsia="en-NZ"/>
              </w:rPr>
              <w:lastRenderedPageBreak/>
              <w:t xml:space="preserve">implemented since last audit. Where the training has been undertaken, there has been less than 20% attendance with no evidence to demonstrate that there has been a catch up with staff who have missed to ensure they complete the mandatory training requirements and therefore up to date with current best practice. </w:t>
            </w:r>
          </w:p>
          <w:p w14:paraId="7F6ABDA1" w14:textId="77777777" w:rsidR="00EB7645" w:rsidRPr="00BE00C7" w:rsidRDefault="00000000" w:rsidP="00BE00C7">
            <w:pPr>
              <w:pStyle w:val="OutcomeDescription"/>
              <w:spacing w:before="120" w:after="120"/>
              <w:rPr>
                <w:rFonts w:cs="Arial"/>
                <w:lang w:eastAsia="en-NZ"/>
              </w:rPr>
            </w:pPr>
          </w:p>
        </w:tc>
        <w:tc>
          <w:tcPr>
            <w:tcW w:w="0" w:type="auto"/>
          </w:tcPr>
          <w:p w14:paraId="3CF9C8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annual education programme since last audit has not been fully implemented.</w:t>
            </w:r>
          </w:p>
          <w:p w14:paraId="558D5F1E" w14:textId="77777777" w:rsidR="00EB7645" w:rsidRPr="00BE00C7" w:rsidRDefault="00000000" w:rsidP="00BE00C7">
            <w:pPr>
              <w:pStyle w:val="OutcomeDescription"/>
              <w:spacing w:before="120" w:after="120"/>
              <w:rPr>
                <w:rFonts w:cs="Arial"/>
                <w:lang w:eastAsia="en-NZ"/>
              </w:rPr>
            </w:pPr>
          </w:p>
        </w:tc>
        <w:tc>
          <w:tcPr>
            <w:tcW w:w="0" w:type="auto"/>
          </w:tcPr>
          <w:p w14:paraId="2B86D778"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education and training is being conducted for all staff as per annual education and training plan.</w:t>
            </w:r>
          </w:p>
          <w:p w14:paraId="6F04DAB3" w14:textId="77777777" w:rsidR="00EB7645" w:rsidRPr="00BE00C7" w:rsidRDefault="00000000" w:rsidP="00BE00C7">
            <w:pPr>
              <w:pStyle w:val="OutcomeDescription"/>
              <w:spacing w:before="120" w:after="120"/>
              <w:rPr>
                <w:rFonts w:cs="Arial"/>
                <w:lang w:eastAsia="en-NZ"/>
              </w:rPr>
            </w:pPr>
          </w:p>
          <w:p w14:paraId="28470981"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4E50F9FA" w14:textId="77777777">
        <w:tc>
          <w:tcPr>
            <w:tcW w:w="0" w:type="auto"/>
          </w:tcPr>
          <w:p w14:paraId="0026CAF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6B45494F"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5C1A44E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6D214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Bupa orientation policy in place that documents the timeframes for the completion of the orientation workbook and the requirement for three-month post orientation review. The orientation workbooks are role specific and demonstrate that the orientation cover a cultural safe environment.</w:t>
            </w:r>
          </w:p>
          <w:p w14:paraId="74702A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staff, a registered nurse and caregiver, employed for more than three months did not have evidence of the completed orientation workbook and three-month reviews on file as required by the policy. One caregiver that started in the last six months interviewed stated they received their orientation workbooks however felt their orientation programme was not well coordinated. One caregiver employed more than six months but within the last 12-months was complimentary of the orientation and induction programme. </w:t>
            </w:r>
          </w:p>
          <w:p w14:paraId="0E2DBC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 with the clinical manager confirmed that the service continues to work on staff orientation; however, the principles required for a robust </w:t>
            </w:r>
            <w:r w:rsidRPr="00BE00C7">
              <w:rPr>
                <w:rFonts w:cs="Arial"/>
                <w:lang w:eastAsia="en-NZ"/>
              </w:rPr>
              <w:lastRenderedPageBreak/>
              <w:t>orientation programme have not been embedded fully at the time of the audit.</w:t>
            </w:r>
          </w:p>
          <w:p w14:paraId="0B92E7C2" w14:textId="77777777" w:rsidR="00EB7645" w:rsidRPr="00BE00C7" w:rsidRDefault="00000000" w:rsidP="00BE00C7">
            <w:pPr>
              <w:pStyle w:val="OutcomeDescription"/>
              <w:spacing w:before="120" w:after="120"/>
              <w:rPr>
                <w:rFonts w:cs="Arial"/>
                <w:lang w:eastAsia="en-NZ"/>
              </w:rPr>
            </w:pPr>
          </w:p>
        </w:tc>
        <w:tc>
          <w:tcPr>
            <w:tcW w:w="0" w:type="auto"/>
          </w:tcPr>
          <w:p w14:paraId="1DD1AC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is no evidence of completed orientation for two of seven staff files reviewed.</w:t>
            </w:r>
          </w:p>
          <w:p w14:paraId="0FC37AB9" w14:textId="77777777" w:rsidR="00EB7645" w:rsidRPr="00BE00C7" w:rsidRDefault="00000000" w:rsidP="00BE00C7">
            <w:pPr>
              <w:pStyle w:val="OutcomeDescription"/>
              <w:spacing w:before="120" w:after="120"/>
              <w:rPr>
                <w:rFonts w:cs="Arial"/>
                <w:lang w:eastAsia="en-NZ"/>
              </w:rPr>
            </w:pPr>
          </w:p>
        </w:tc>
        <w:tc>
          <w:tcPr>
            <w:tcW w:w="0" w:type="auto"/>
          </w:tcPr>
          <w:p w14:paraId="5947BD8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orientation and induction process is completed as per policy requirements</w:t>
            </w:r>
          </w:p>
          <w:p w14:paraId="303FF330" w14:textId="77777777" w:rsidR="00EB7645" w:rsidRPr="00BE00C7" w:rsidRDefault="00000000" w:rsidP="00BE00C7">
            <w:pPr>
              <w:pStyle w:val="OutcomeDescription"/>
              <w:spacing w:before="120" w:after="120"/>
              <w:rPr>
                <w:rFonts w:cs="Arial"/>
                <w:lang w:eastAsia="en-NZ"/>
              </w:rPr>
            </w:pPr>
          </w:p>
          <w:p w14:paraId="206142E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2DAB2D54" w14:textId="77777777">
        <w:tc>
          <w:tcPr>
            <w:tcW w:w="0" w:type="auto"/>
          </w:tcPr>
          <w:p w14:paraId="1392C60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2.4.5</w:t>
            </w:r>
          </w:p>
          <w:p w14:paraId="00C4156D"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7D76950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93FB0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performance appraisal policy is established.  Staff are scheduled to have annual performance appraisals completed.  This is currently behind schedule with four of five staff files eligible for an annual performance appraisal reviewed on the day of the audit failing to demonstrate evidence of performance appraisals being completed in the last 12 months. </w:t>
            </w:r>
          </w:p>
          <w:p w14:paraId="2B72ED22" w14:textId="77777777" w:rsidR="00EB7645" w:rsidRPr="00BE00C7" w:rsidRDefault="00000000" w:rsidP="00BE00C7">
            <w:pPr>
              <w:pStyle w:val="OutcomeDescription"/>
              <w:spacing w:before="120" w:after="120"/>
              <w:rPr>
                <w:rFonts w:cs="Arial"/>
                <w:lang w:eastAsia="en-NZ"/>
              </w:rPr>
            </w:pPr>
          </w:p>
        </w:tc>
        <w:tc>
          <w:tcPr>
            <w:tcW w:w="0" w:type="auto"/>
          </w:tcPr>
          <w:p w14:paraId="72FFE8F2" w14:textId="77777777" w:rsidR="00EB7645" w:rsidRPr="00BE00C7" w:rsidRDefault="00000000" w:rsidP="00BE00C7">
            <w:pPr>
              <w:pStyle w:val="OutcomeDescription"/>
              <w:spacing w:before="120" w:after="120"/>
              <w:rPr>
                <w:rFonts w:cs="Arial"/>
                <w:lang w:eastAsia="en-NZ"/>
              </w:rPr>
            </w:pPr>
            <w:r w:rsidRPr="00BE00C7">
              <w:rPr>
                <w:rFonts w:cs="Arial"/>
                <w:lang w:eastAsia="en-NZ"/>
              </w:rPr>
              <w:t>Performance reviews have not been completed for four of five staff who have been employed for more than 12 months.</w:t>
            </w:r>
          </w:p>
          <w:p w14:paraId="5E988393" w14:textId="77777777" w:rsidR="00EB7645" w:rsidRPr="00BE00C7" w:rsidRDefault="00000000" w:rsidP="00BE00C7">
            <w:pPr>
              <w:pStyle w:val="OutcomeDescription"/>
              <w:spacing w:before="120" w:after="120"/>
              <w:rPr>
                <w:rFonts w:cs="Arial"/>
                <w:lang w:eastAsia="en-NZ"/>
              </w:rPr>
            </w:pPr>
          </w:p>
        </w:tc>
        <w:tc>
          <w:tcPr>
            <w:tcW w:w="0" w:type="auto"/>
          </w:tcPr>
          <w:p w14:paraId="1BFC7B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performance appraisals are completed annually as scheduled. </w:t>
            </w:r>
          </w:p>
          <w:p w14:paraId="40166EC4" w14:textId="77777777" w:rsidR="00EB7645" w:rsidRPr="00BE00C7" w:rsidRDefault="00000000" w:rsidP="00BE00C7">
            <w:pPr>
              <w:pStyle w:val="OutcomeDescription"/>
              <w:spacing w:before="120" w:after="120"/>
              <w:rPr>
                <w:rFonts w:cs="Arial"/>
                <w:lang w:eastAsia="en-NZ"/>
              </w:rPr>
            </w:pPr>
          </w:p>
          <w:p w14:paraId="37A41AF6"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0FEECE0D" w14:textId="77777777">
        <w:tc>
          <w:tcPr>
            <w:tcW w:w="0" w:type="auto"/>
          </w:tcPr>
          <w:p w14:paraId="1AF6C0D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074FC87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1ACAACC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C538B42"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assessments are completed by an RN in partnership with residents and family/whānau. An initial summary care plan is developed within 24 hours of admission to provide guidance for caregivers on care delivery for the residents. For the sample files reviewed, one of six residents who required an initial interRAI and long-term care plan had this completed within required timeframes. There are policies and procedures that provide guidance on assessment and support planning timeframes and processes.  Six-monthly reviews where required were not completed within required timeframes as per policy.</w:t>
            </w:r>
          </w:p>
          <w:p w14:paraId="5C1266ED" w14:textId="77777777" w:rsidR="00EB7645" w:rsidRPr="00BE00C7" w:rsidRDefault="00000000" w:rsidP="00BE00C7">
            <w:pPr>
              <w:pStyle w:val="OutcomeDescription"/>
              <w:spacing w:before="120" w:after="120"/>
              <w:rPr>
                <w:rFonts w:cs="Arial"/>
                <w:lang w:eastAsia="en-NZ"/>
              </w:rPr>
            </w:pPr>
          </w:p>
        </w:tc>
        <w:tc>
          <w:tcPr>
            <w:tcW w:w="0" w:type="auto"/>
          </w:tcPr>
          <w:p w14:paraId="490366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One initial interRAI assessment has not been completed for a resident who has been a permanent placement for over six weeks. </w:t>
            </w:r>
          </w:p>
          <w:p w14:paraId="2292F066" w14:textId="77777777" w:rsidR="00EB7645" w:rsidRPr="00BE00C7" w:rsidRDefault="00000000" w:rsidP="00BE00C7">
            <w:pPr>
              <w:pStyle w:val="OutcomeDescription"/>
              <w:spacing w:before="120" w:after="120"/>
              <w:rPr>
                <w:rFonts w:cs="Arial"/>
                <w:lang w:eastAsia="en-NZ"/>
              </w:rPr>
            </w:pPr>
            <w:r w:rsidRPr="00BE00C7">
              <w:rPr>
                <w:rFonts w:cs="Arial"/>
                <w:lang w:eastAsia="en-NZ"/>
              </w:rPr>
              <w:t>(ii). Two initial interRAI assessments were not completed within three weeks.</w:t>
            </w:r>
          </w:p>
          <w:p w14:paraId="7A1D2F86" w14:textId="77777777" w:rsidR="00EB7645" w:rsidRPr="00BE00C7" w:rsidRDefault="00000000" w:rsidP="00BE00C7">
            <w:pPr>
              <w:pStyle w:val="OutcomeDescription"/>
              <w:spacing w:before="120" w:after="120"/>
              <w:rPr>
                <w:rFonts w:cs="Arial"/>
                <w:lang w:eastAsia="en-NZ"/>
              </w:rPr>
            </w:pPr>
            <w:r w:rsidRPr="00BE00C7">
              <w:rPr>
                <w:rFonts w:cs="Arial"/>
                <w:lang w:eastAsia="en-NZ"/>
              </w:rPr>
              <w:t>(iii). Three residents who had been at the facility longer than three weeks did not have long term care plans and a further two were completed late.</w:t>
            </w:r>
          </w:p>
          <w:p w14:paraId="4CB529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Six monthly evaluations had not been completed for one resident who had been at the service over six </w:t>
            </w:r>
            <w:r w:rsidRPr="00BE00C7">
              <w:rPr>
                <w:rFonts w:cs="Arial"/>
                <w:lang w:eastAsia="en-NZ"/>
              </w:rPr>
              <w:lastRenderedPageBreak/>
              <w:t>months and a further two evaluations for not completed within six months.</w:t>
            </w:r>
          </w:p>
          <w:p w14:paraId="5D15776E" w14:textId="77777777" w:rsidR="00EB7645" w:rsidRPr="00BE00C7" w:rsidRDefault="00000000" w:rsidP="00BE00C7">
            <w:pPr>
              <w:pStyle w:val="OutcomeDescription"/>
              <w:spacing w:before="120" w:after="120"/>
              <w:rPr>
                <w:rFonts w:cs="Arial"/>
                <w:lang w:eastAsia="en-NZ"/>
              </w:rPr>
            </w:pPr>
            <w:r w:rsidRPr="00BE00C7">
              <w:rPr>
                <w:rFonts w:cs="Arial"/>
                <w:lang w:eastAsia="en-NZ"/>
              </w:rPr>
              <w:t>(v). STCP’s were not initiated were one resident returning on a changed level of care and two residents with weight loss.</w:t>
            </w:r>
          </w:p>
          <w:p w14:paraId="1B93A21C" w14:textId="77777777" w:rsidR="00EB7645" w:rsidRPr="00BE00C7" w:rsidRDefault="00000000" w:rsidP="00BE00C7">
            <w:pPr>
              <w:pStyle w:val="OutcomeDescription"/>
              <w:spacing w:before="120" w:after="120"/>
              <w:rPr>
                <w:rFonts w:cs="Arial"/>
                <w:lang w:eastAsia="en-NZ"/>
              </w:rPr>
            </w:pPr>
          </w:p>
        </w:tc>
        <w:tc>
          <w:tcPr>
            <w:tcW w:w="0" w:type="auto"/>
          </w:tcPr>
          <w:p w14:paraId="09BEDC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(i-iv). Ensure that all assessments care planning and reviews are completed in line with policy and legislative requirements. </w:t>
            </w:r>
          </w:p>
          <w:p w14:paraId="7A152392" w14:textId="77777777" w:rsidR="00EB7645" w:rsidRPr="00BE00C7" w:rsidRDefault="00000000" w:rsidP="00BE00C7">
            <w:pPr>
              <w:pStyle w:val="OutcomeDescription"/>
              <w:spacing w:before="120" w:after="120"/>
              <w:rPr>
                <w:rFonts w:cs="Arial"/>
                <w:lang w:eastAsia="en-NZ"/>
              </w:rPr>
            </w:pPr>
            <w:r w:rsidRPr="00BE00C7">
              <w:rPr>
                <w:rFonts w:cs="Arial"/>
                <w:lang w:eastAsia="en-NZ"/>
              </w:rPr>
              <w:t>(v).  Ensure care plan requirements are updated following a change in care needs.</w:t>
            </w:r>
          </w:p>
          <w:p w14:paraId="18029672" w14:textId="77777777" w:rsidR="00EB7645" w:rsidRPr="00BE00C7" w:rsidRDefault="00000000" w:rsidP="00BE00C7">
            <w:pPr>
              <w:pStyle w:val="OutcomeDescription"/>
              <w:spacing w:before="120" w:after="120"/>
              <w:rPr>
                <w:rFonts w:cs="Arial"/>
                <w:lang w:eastAsia="en-NZ"/>
              </w:rPr>
            </w:pPr>
          </w:p>
          <w:p w14:paraId="3652576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5410EE71" w14:textId="77777777">
        <w:tc>
          <w:tcPr>
            <w:tcW w:w="0" w:type="auto"/>
          </w:tcPr>
          <w:p w14:paraId="576389D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20ABAAAA"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r>
            <w:r w:rsidRPr="00BE00C7">
              <w:rPr>
                <w:rFonts w:cs="Arial"/>
                <w:lang w:eastAsia="en-NZ"/>
              </w:rPr>
              <w:lastRenderedPageBreak/>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4BF0004" w14:textId="77777777" w:rsidR="00EB7645" w:rsidRPr="00BE00C7" w:rsidRDefault="00000000" w:rsidP="00BE00C7">
            <w:pPr>
              <w:pStyle w:val="OutcomeDescription"/>
              <w:spacing w:before="120" w:after="120"/>
              <w:rPr>
                <w:rFonts w:cs="Arial"/>
                <w:lang w:eastAsia="en-NZ"/>
              </w:rPr>
            </w:pPr>
          </w:p>
        </w:tc>
        <w:tc>
          <w:tcPr>
            <w:tcW w:w="0" w:type="auto"/>
          </w:tcPr>
          <w:p w14:paraId="5E7085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DBE56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Registered nurses are responsible for completing assessments (including interRAI), developing resident centred care interventions, and evaluating the care delivery six-monthly or earlier as residents needs change. The service seeks multidisciplinary input as appropriate to the needs of the resident. Care plan evaluations identify progress to meeting goals; however, not all resident records reviewed provided evidence of detailed interventions to provide guidance to care staff in the delivery of care to the residents. Two residents had weight loss noted on the weight monitoring records and progress notes; however, there was no evidence any strategies documented in a care plan to manage the weight loss. </w:t>
            </w:r>
          </w:p>
          <w:p w14:paraId="2A0EB4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Supplementary documentation reviewed and interviews with resident, family/whānau and care staff identified that the shortfalls noted relates to </w:t>
            </w:r>
            <w:r w:rsidRPr="00BE00C7">
              <w:rPr>
                <w:rFonts w:cs="Arial"/>
                <w:lang w:eastAsia="en-NZ"/>
              </w:rPr>
              <w:lastRenderedPageBreak/>
              <w:t>documentation only and the residents received the required care.</w:t>
            </w:r>
          </w:p>
          <w:p w14:paraId="1140091F" w14:textId="77777777" w:rsidR="00EB7645" w:rsidRPr="00BE00C7" w:rsidRDefault="00000000" w:rsidP="00BE00C7">
            <w:pPr>
              <w:pStyle w:val="OutcomeDescription"/>
              <w:spacing w:before="120" w:after="120"/>
              <w:rPr>
                <w:rFonts w:cs="Arial"/>
                <w:lang w:eastAsia="en-NZ"/>
              </w:rPr>
            </w:pPr>
          </w:p>
        </w:tc>
        <w:tc>
          <w:tcPr>
            <w:tcW w:w="0" w:type="auto"/>
          </w:tcPr>
          <w:p w14:paraId="60AAAB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Two hospital and one rest home resident assessed as high falls risk did not have detailed interventions in the care plan to manage the risk. </w:t>
            </w:r>
          </w:p>
          <w:p w14:paraId="0E6EF6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Three residents (two hospital and one rest home) on anticoagulants did not have associated risks documented in the care plan. </w:t>
            </w:r>
          </w:p>
          <w:p w14:paraId="51F125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One hospital level care resident with ongoing pain did not have complex medical conditions did not have detailed interventions to manage their pain. </w:t>
            </w:r>
          </w:p>
          <w:p w14:paraId="2B486C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There were no interventions documented in a care plan for two residents (one rest home and one hospital level care) with recent weight loss. </w:t>
            </w:r>
          </w:p>
          <w:p w14:paraId="146B09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(v).  Two residents who were bed/chair bound and with a history of PI’s did not have repositioning included in their care plans. </w:t>
            </w:r>
          </w:p>
          <w:p w14:paraId="69510B6A" w14:textId="77777777" w:rsidR="00EB7645" w:rsidRPr="00BE00C7" w:rsidRDefault="00000000" w:rsidP="00BE00C7">
            <w:pPr>
              <w:pStyle w:val="OutcomeDescription"/>
              <w:spacing w:before="120" w:after="120"/>
              <w:rPr>
                <w:rFonts w:cs="Arial"/>
                <w:lang w:eastAsia="en-NZ"/>
              </w:rPr>
            </w:pPr>
            <w:r w:rsidRPr="00BE00C7">
              <w:rPr>
                <w:rFonts w:cs="Arial"/>
                <w:lang w:eastAsia="en-NZ"/>
              </w:rPr>
              <w:t>(vi). One resident with type 2 diabetes did not include reportable ranges, BGL frequency of signs and symptoms of hypo and hyperglycaemia</w:t>
            </w:r>
          </w:p>
          <w:p w14:paraId="652FDB0A" w14:textId="77777777" w:rsidR="00EB7645" w:rsidRPr="00BE00C7" w:rsidRDefault="00000000" w:rsidP="00BE00C7">
            <w:pPr>
              <w:pStyle w:val="OutcomeDescription"/>
              <w:spacing w:before="120" w:after="120"/>
              <w:rPr>
                <w:rFonts w:cs="Arial"/>
                <w:lang w:eastAsia="en-NZ"/>
              </w:rPr>
            </w:pPr>
          </w:p>
        </w:tc>
        <w:tc>
          <w:tcPr>
            <w:tcW w:w="0" w:type="auto"/>
          </w:tcPr>
          <w:p w14:paraId="77F300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(i-vi) Ensure care plans have detailed interventions documented to provide guidance to staff on care management and are updated to reflect changes to resident needs and management plan.</w:t>
            </w:r>
          </w:p>
          <w:p w14:paraId="405F5281" w14:textId="77777777" w:rsidR="00EB7645" w:rsidRPr="00BE00C7" w:rsidRDefault="00000000" w:rsidP="00BE00C7">
            <w:pPr>
              <w:pStyle w:val="OutcomeDescription"/>
              <w:spacing w:before="120" w:after="120"/>
              <w:rPr>
                <w:rFonts w:cs="Arial"/>
                <w:lang w:eastAsia="en-NZ"/>
              </w:rPr>
            </w:pPr>
          </w:p>
          <w:p w14:paraId="23ECF21C"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6D36AC3C" w14:textId="77777777">
        <w:tc>
          <w:tcPr>
            <w:tcW w:w="0" w:type="auto"/>
          </w:tcPr>
          <w:p w14:paraId="28984FD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763B2545"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w:t>
            </w:r>
            <w:r w:rsidRPr="00BE00C7">
              <w:rPr>
                <w:rFonts w:cs="Arial"/>
                <w:lang w:eastAsia="en-NZ"/>
              </w:rPr>
              <w:lastRenderedPageBreak/>
              <w:t>process and that any changes are documented.</w:t>
            </w:r>
          </w:p>
          <w:p w14:paraId="5611BD2E" w14:textId="77777777" w:rsidR="00EB7645" w:rsidRPr="00BE00C7" w:rsidRDefault="00000000" w:rsidP="00BE00C7">
            <w:pPr>
              <w:pStyle w:val="OutcomeDescription"/>
              <w:spacing w:before="120" w:after="120"/>
              <w:rPr>
                <w:rFonts w:cs="Arial"/>
                <w:lang w:eastAsia="en-NZ"/>
              </w:rPr>
            </w:pPr>
          </w:p>
        </w:tc>
        <w:tc>
          <w:tcPr>
            <w:tcW w:w="0" w:type="auto"/>
          </w:tcPr>
          <w:p w14:paraId="019363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E6E64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comprehensive policies related to assessment, support planning and care evaluation. A range of monitoring charts are available for the care staff to utilise. Monthly observations such as weight and blood pressure were completed and are up to date. However, not all resident records reviewed provided evidence of monitoring records such as, restraint monitoring and repositioning charts were not always completed as per policy.</w:t>
            </w:r>
          </w:p>
          <w:p w14:paraId="3C0318D5" w14:textId="77777777" w:rsidR="00EB7645" w:rsidRPr="00BE00C7" w:rsidRDefault="00000000" w:rsidP="00BE00C7">
            <w:pPr>
              <w:pStyle w:val="OutcomeDescription"/>
              <w:spacing w:before="120" w:after="120"/>
              <w:rPr>
                <w:rFonts w:cs="Arial"/>
                <w:lang w:eastAsia="en-NZ"/>
              </w:rPr>
            </w:pPr>
          </w:p>
        </w:tc>
        <w:tc>
          <w:tcPr>
            <w:tcW w:w="0" w:type="auto"/>
          </w:tcPr>
          <w:p w14:paraId="5DDC6B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One repositioning chart for a hospital level resident did not have monitoring completed as per care plan timeframes. </w:t>
            </w:r>
          </w:p>
          <w:p w14:paraId="6C066E35" w14:textId="77777777" w:rsidR="00EB7645" w:rsidRPr="00BE00C7" w:rsidRDefault="00000000" w:rsidP="00BE00C7">
            <w:pPr>
              <w:pStyle w:val="OutcomeDescription"/>
              <w:spacing w:before="120" w:after="120"/>
              <w:rPr>
                <w:rFonts w:cs="Arial"/>
                <w:lang w:eastAsia="en-NZ"/>
              </w:rPr>
            </w:pPr>
            <w:r w:rsidRPr="00BE00C7">
              <w:rPr>
                <w:rFonts w:cs="Arial"/>
                <w:lang w:eastAsia="en-NZ"/>
              </w:rPr>
              <w:t>(ii). Four of four restraint monitoring charts reviewed did not have monitoring completed as per care plan or policy timeframes.</w:t>
            </w:r>
          </w:p>
          <w:p w14:paraId="4DBEE150" w14:textId="77777777" w:rsidR="00EB7645" w:rsidRPr="00BE00C7" w:rsidRDefault="00000000" w:rsidP="00BE00C7">
            <w:pPr>
              <w:pStyle w:val="OutcomeDescription"/>
              <w:spacing w:before="120" w:after="120"/>
              <w:rPr>
                <w:rFonts w:cs="Arial"/>
                <w:lang w:eastAsia="en-NZ"/>
              </w:rPr>
            </w:pPr>
          </w:p>
        </w:tc>
        <w:tc>
          <w:tcPr>
            <w:tcW w:w="0" w:type="auto"/>
          </w:tcPr>
          <w:p w14:paraId="2ED68FDB" w14:textId="77777777" w:rsidR="00EB7645" w:rsidRPr="00BE00C7" w:rsidRDefault="00000000" w:rsidP="00BE00C7">
            <w:pPr>
              <w:pStyle w:val="OutcomeDescription"/>
              <w:spacing w:before="120" w:after="120"/>
              <w:rPr>
                <w:rFonts w:cs="Arial"/>
                <w:lang w:eastAsia="en-NZ"/>
              </w:rPr>
            </w:pPr>
            <w:r w:rsidRPr="00BE00C7">
              <w:rPr>
                <w:rFonts w:cs="Arial"/>
                <w:lang w:eastAsia="en-NZ"/>
              </w:rPr>
              <w:t>(i). – (ii). Ensure monitoring records are completed as per care plan and policy requirements.</w:t>
            </w:r>
          </w:p>
          <w:p w14:paraId="78599D92" w14:textId="77777777" w:rsidR="00EB7645" w:rsidRPr="00BE00C7" w:rsidRDefault="00000000" w:rsidP="00BE00C7">
            <w:pPr>
              <w:pStyle w:val="OutcomeDescription"/>
              <w:spacing w:before="120" w:after="120"/>
              <w:rPr>
                <w:rFonts w:cs="Arial"/>
                <w:lang w:eastAsia="en-NZ"/>
              </w:rPr>
            </w:pPr>
          </w:p>
          <w:p w14:paraId="20FEE227"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C1593" w14:paraId="5C4AC883" w14:textId="77777777">
        <w:tc>
          <w:tcPr>
            <w:tcW w:w="0" w:type="auto"/>
          </w:tcPr>
          <w:p w14:paraId="657A713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2556D2F4"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EE7B169"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98DC9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and medication competent caregivers are responsible for the administration of medications. Those responsible for medication administration have all completed medication competencies and education related to medication management. There is a policy and process on safe medicine management including reconciliation, storage, and documentation requirements. Medications were appropriately stored in the facility medication room; however, medication room and fridge temperature monitoring and documentation was not consistently demonstrating compliance with policy, standards, and legislative requirements. </w:t>
            </w:r>
          </w:p>
          <w:p w14:paraId="7F7E1A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stored medications are checked weekly. Staff were not always dating the eye drops on opening. </w:t>
            </w:r>
          </w:p>
          <w:p w14:paraId="23DC01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medications are stored as required however weekly checks have not al\ways been competed as per policy. </w:t>
            </w:r>
          </w:p>
          <w:p w14:paraId="4A39A6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One resident  (on respite) did not have a signed medication chart, did not evidence photo identification and did not have indications for ‘as required’ medication. Staff have received training related to medicine management and medication related audits have been </w:t>
            </w:r>
            <w:r w:rsidRPr="00BE00C7">
              <w:rPr>
                <w:rFonts w:cs="Arial"/>
                <w:lang w:eastAsia="en-NZ"/>
              </w:rPr>
              <w:lastRenderedPageBreak/>
              <w:t>completed in line with the audit schedule.</w:t>
            </w:r>
          </w:p>
          <w:p w14:paraId="20A48796" w14:textId="77777777" w:rsidR="00EB7645" w:rsidRPr="00BE00C7" w:rsidRDefault="00000000" w:rsidP="00BE00C7">
            <w:pPr>
              <w:pStyle w:val="OutcomeDescription"/>
              <w:spacing w:before="120" w:after="120"/>
              <w:rPr>
                <w:rFonts w:cs="Arial"/>
                <w:lang w:eastAsia="en-NZ"/>
              </w:rPr>
            </w:pPr>
          </w:p>
        </w:tc>
        <w:tc>
          <w:tcPr>
            <w:tcW w:w="0" w:type="auto"/>
          </w:tcPr>
          <w:p w14:paraId="62F23B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Medication room temperatures are recorded at the beginning of the morning shift. Temperatures were not recorded consistently as per policy for two (hospital and rest home) of three treatment rooms. </w:t>
            </w:r>
          </w:p>
          <w:p w14:paraId="01ED8E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Seven of seven eye drops in current use in the hospital did not evidence opening dates. </w:t>
            </w:r>
          </w:p>
          <w:p w14:paraId="118E1771" w14:textId="77777777" w:rsidR="00EB7645" w:rsidRPr="00BE00C7" w:rsidRDefault="00000000" w:rsidP="00BE00C7">
            <w:pPr>
              <w:pStyle w:val="OutcomeDescription"/>
              <w:spacing w:before="120" w:after="120"/>
              <w:rPr>
                <w:rFonts w:cs="Arial"/>
                <w:lang w:eastAsia="en-NZ"/>
              </w:rPr>
            </w:pPr>
            <w:r w:rsidRPr="00BE00C7">
              <w:rPr>
                <w:rFonts w:cs="Arial"/>
                <w:lang w:eastAsia="en-NZ"/>
              </w:rPr>
              <w:t>iii). The respite resident did not have a signed medication chart, photo identification or indications for as required medications documented.</w:t>
            </w:r>
          </w:p>
          <w:p w14:paraId="13260028" w14:textId="77777777" w:rsidR="00EB7645" w:rsidRPr="00BE00C7" w:rsidRDefault="00000000" w:rsidP="00BE00C7">
            <w:pPr>
              <w:pStyle w:val="OutcomeDescription"/>
              <w:spacing w:before="120" w:after="120"/>
              <w:rPr>
                <w:rFonts w:cs="Arial"/>
                <w:lang w:eastAsia="en-NZ"/>
              </w:rPr>
            </w:pPr>
            <w:r w:rsidRPr="00BE00C7">
              <w:rPr>
                <w:rFonts w:cs="Arial"/>
                <w:lang w:eastAsia="en-NZ"/>
              </w:rPr>
              <w:t>(iv). The controlled drug register in the rest home did not evidence weekly drug checks had been completed for over six weeks</w:t>
            </w:r>
          </w:p>
          <w:p w14:paraId="33E0A831" w14:textId="77777777" w:rsidR="00EB7645" w:rsidRPr="00BE00C7" w:rsidRDefault="00000000" w:rsidP="00BE00C7">
            <w:pPr>
              <w:pStyle w:val="OutcomeDescription"/>
              <w:spacing w:before="120" w:after="120"/>
              <w:rPr>
                <w:rFonts w:cs="Arial"/>
                <w:lang w:eastAsia="en-NZ"/>
              </w:rPr>
            </w:pPr>
          </w:p>
        </w:tc>
        <w:tc>
          <w:tcPr>
            <w:tcW w:w="0" w:type="auto"/>
          </w:tcPr>
          <w:p w14:paraId="4CA139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that medication room temperature monitoring is completed daily and is consistently recorded.  </w:t>
            </w:r>
          </w:p>
          <w:p w14:paraId="60219A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Ensure eye drops are dated on opening. </w:t>
            </w:r>
          </w:p>
          <w:p w14:paraId="043B3B15"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respite residents medications are charted as per policy.</w:t>
            </w:r>
          </w:p>
          <w:p w14:paraId="6F563AFD" w14:textId="77777777" w:rsidR="00EB7645" w:rsidRPr="00BE00C7" w:rsidRDefault="00000000" w:rsidP="00BE00C7">
            <w:pPr>
              <w:pStyle w:val="OutcomeDescription"/>
              <w:spacing w:before="120" w:after="120"/>
              <w:rPr>
                <w:rFonts w:cs="Arial"/>
                <w:lang w:eastAsia="en-NZ"/>
              </w:rPr>
            </w:pPr>
            <w:r w:rsidRPr="00BE00C7">
              <w:rPr>
                <w:rFonts w:cs="Arial"/>
                <w:lang w:eastAsia="en-NZ"/>
              </w:rPr>
              <w:t>(iv). Ensure controlled drugs medications are checked weekly.</w:t>
            </w:r>
          </w:p>
          <w:p w14:paraId="5A21FC1C" w14:textId="77777777" w:rsidR="00EB7645" w:rsidRPr="00BE00C7" w:rsidRDefault="00000000" w:rsidP="00BE00C7">
            <w:pPr>
              <w:pStyle w:val="OutcomeDescription"/>
              <w:spacing w:before="120" w:after="120"/>
              <w:rPr>
                <w:rFonts w:cs="Arial"/>
                <w:lang w:eastAsia="en-NZ"/>
              </w:rPr>
            </w:pPr>
          </w:p>
          <w:p w14:paraId="64D1B648"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3C1593" w14:paraId="15CB7917" w14:textId="77777777">
        <w:tc>
          <w:tcPr>
            <w:tcW w:w="0" w:type="auto"/>
          </w:tcPr>
          <w:p w14:paraId="3BFB3A0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4.2.3</w:t>
            </w:r>
          </w:p>
          <w:p w14:paraId="2FEF1D94"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034E7F3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57379F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CPR/first aid training has been provided by the service; however, has not been completed by all staff expected to complete it. A training was scheduled with an external provider on at least two occasions; however, not all staff were trained as required.</w:t>
            </w:r>
          </w:p>
          <w:p w14:paraId="6A1B8EF0" w14:textId="77777777" w:rsidR="00EB7645" w:rsidRPr="00BE00C7" w:rsidRDefault="00000000" w:rsidP="00BE00C7">
            <w:pPr>
              <w:pStyle w:val="OutcomeDescription"/>
              <w:spacing w:before="120" w:after="120"/>
              <w:rPr>
                <w:rFonts w:cs="Arial"/>
                <w:lang w:eastAsia="en-NZ"/>
              </w:rPr>
            </w:pPr>
          </w:p>
        </w:tc>
        <w:tc>
          <w:tcPr>
            <w:tcW w:w="0" w:type="auto"/>
          </w:tcPr>
          <w:p w14:paraId="3E478E97"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nightshifts evidenced a first aid trained staff member on duty.</w:t>
            </w:r>
          </w:p>
          <w:p w14:paraId="5A3604EE" w14:textId="77777777" w:rsidR="00EB7645" w:rsidRPr="00BE00C7" w:rsidRDefault="00000000" w:rsidP="00BE00C7">
            <w:pPr>
              <w:pStyle w:val="OutcomeDescription"/>
              <w:spacing w:before="120" w:after="120"/>
              <w:rPr>
                <w:rFonts w:cs="Arial"/>
                <w:lang w:eastAsia="en-NZ"/>
              </w:rPr>
            </w:pPr>
          </w:p>
        </w:tc>
        <w:tc>
          <w:tcPr>
            <w:tcW w:w="0" w:type="auto"/>
          </w:tcPr>
          <w:p w14:paraId="656802A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is a minimum of one staff trained in first aid/ CPR 24 hours a day, seven days a week.</w:t>
            </w:r>
          </w:p>
          <w:p w14:paraId="623A21CC" w14:textId="77777777" w:rsidR="00EB7645" w:rsidRPr="00BE00C7" w:rsidRDefault="00000000" w:rsidP="00BE00C7">
            <w:pPr>
              <w:pStyle w:val="OutcomeDescription"/>
              <w:spacing w:before="120" w:after="120"/>
              <w:rPr>
                <w:rFonts w:cs="Arial"/>
                <w:lang w:eastAsia="en-NZ"/>
              </w:rPr>
            </w:pPr>
          </w:p>
          <w:p w14:paraId="6B2F6F3D"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39F119A2"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171311E" w14:textId="77777777" w:rsidR="00460D43" w:rsidRDefault="00000000">
      <w:pPr>
        <w:pStyle w:val="Heading1"/>
        <w:rPr>
          <w:rFonts w:cs="Arial"/>
        </w:rPr>
      </w:pPr>
      <w:r>
        <w:rPr>
          <w:rFonts w:cs="Arial"/>
        </w:rPr>
        <w:lastRenderedPageBreak/>
        <w:t>Specific results for criterion where a continuous improvement has been recorded</w:t>
      </w:r>
    </w:p>
    <w:p w14:paraId="1E7640DD"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9A3269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30C538F"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C1593" w14:paraId="38D504C7" w14:textId="77777777">
        <w:tc>
          <w:tcPr>
            <w:tcW w:w="0" w:type="auto"/>
          </w:tcPr>
          <w:p w14:paraId="4AEE739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F25247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EF5428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74BD" w14:textId="77777777" w:rsidR="00297B79" w:rsidRDefault="00297B79">
      <w:r>
        <w:separator/>
      </w:r>
    </w:p>
  </w:endnote>
  <w:endnote w:type="continuationSeparator" w:id="0">
    <w:p w14:paraId="35D37293" w14:textId="77777777" w:rsidR="00297B79" w:rsidRDefault="0029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6BC9" w14:textId="77777777" w:rsidR="000B00BC" w:rsidRDefault="00000000">
    <w:pPr>
      <w:pStyle w:val="Footer"/>
    </w:pPr>
  </w:p>
  <w:p w14:paraId="7175D6CF" w14:textId="77777777" w:rsidR="005A4A55" w:rsidRDefault="00000000"/>
  <w:p w14:paraId="50BEA66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F00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Fergusson Rest Home &amp; Hospital</w:t>
    </w:r>
    <w:bookmarkEnd w:id="59"/>
    <w:r>
      <w:rPr>
        <w:rFonts w:cs="Arial"/>
        <w:sz w:val="16"/>
        <w:szCs w:val="20"/>
      </w:rPr>
      <w:tab/>
      <w:t xml:space="preserve">Date of Audit: </w:t>
    </w:r>
    <w:bookmarkStart w:id="60" w:name="AuditStartDate1"/>
    <w:r>
      <w:rPr>
        <w:rFonts w:cs="Arial"/>
        <w:sz w:val="16"/>
        <w:szCs w:val="20"/>
      </w:rPr>
      <w:t>14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174624"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949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50A6" w14:textId="77777777" w:rsidR="00297B79" w:rsidRDefault="00297B79">
      <w:r>
        <w:separator/>
      </w:r>
    </w:p>
  </w:footnote>
  <w:footnote w:type="continuationSeparator" w:id="0">
    <w:p w14:paraId="1BBBFD31" w14:textId="77777777" w:rsidR="00297B79" w:rsidRDefault="0029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1763" w14:textId="77777777" w:rsidR="000B00BC" w:rsidRDefault="00000000">
    <w:pPr>
      <w:pStyle w:val="Header"/>
    </w:pPr>
  </w:p>
  <w:p w14:paraId="0FF210F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9A6" w14:textId="77777777" w:rsidR="000B00BC" w:rsidRDefault="00000000">
    <w:pPr>
      <w:pStyle w:val="Header"/>
    </w:pPr>
  </w:p>
  <w:p w14:paraId="5C941240"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5A91"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422ADB6">
      <w:start w:val="1"/>
      <w:numFmt w:val="decimal"/>
      <w:lvlText w:val="%1."/>
      <w:lvlJc w:val="left"/>
      <w:pPr>
        <w:ind w:left="360" w:hanging="360"/>
      </w:pPr>
    </w:lvl>
    <w:lvl w:ilvl="1" w:tplc="C764E954" w:tentative="1">
      <w:start w:val="1"/>
      <w:numFmt w:val="lowerLetter"/>
      <w:lvlText w:val="%2."/>
      <w:lvlJc w:val="left"/>
      <w:pPr>
        <w:ind w:left="1080" w:hanging="360"/>
      </w:pPr>
    </w:lvl>
    <w:lvl w:ilvl="2" w:tplc="E3EC5358" w:tentative="1">
      <w:start w:val="1"/>
      <w:numFmt w:val="lowerRoman"/>
      <w:lvlText w:val="%3."/>
      <w:lvlJc w:val="right"/>
      <w:pPr>
        <w:ind w:left="1800" w:hanging="180"/>
      </w:pPr>
    </w:lvl>
    <w:lvl w:ilvl="3" w:tplc="C25862A6" w:tentative="1">
      <w:start w:val="1"/>
      <w:numFmt w:val="decimal"/>
      <w:lvlText w:val="%4."/>
      <w:lvlJc w:val="left"/>
      <w:pPr>
        <w:ind w:left="2520" w:hanging="360"/>
      </w:pPr>
    </w:lvl>
    <w:lvl w:ilvl="4" w:tplc="F2A2C3F2" w:tentative="1">
      <w:start w:val="1"/>
      <w:numFmt w:val="lowerLetter"/>
      <w:lvlText w:val="%5."/>
      <w:lvlJc w:val="left"/>
      <w:pPr>
        <w:ind w:left="3240" w:hanging="360"/>
      </w:pPr>
    </w:lvl>
    <w:lvl w:ilvl="5" w:tplc="D7EC0978" w:tentative="1">
      <w:start w:val="1"/>
      <w:numFmt w:val="lowerRoman"/>
      <w:lvlText w:val="%6."/>
      <w:lvlJc w:val="right"/>
      <w:pPr>
        <w:ind w:left="3960" w:hanging="180"/>
      </w:pPr>
    </w:lvl>
    <w:lvl w:ilvl="6" w:tplc="7D5CA72E" w:tentative="1">
      <w:start w:val="1"/>
      <w:numFmt w:val="decimal"/>
      <w:lvlText w:val="%7."/>
      <w:lvlJc w:val="left"/>
      <w:pPr>
        <w:ind w:left="4680" w:hanging="360"/>
      </w:pPr>
    </w:lvl>
    <w:lvl w:ilvl="7" w:tplc="3376A87A" w:tentative="1">
      <w:start w:val="1"/>
      <w:numFmt w:val="lowerLetter"/>
      <w:lvlText w:val="%8."/>
      <w:lvlJc w:val="left"/>
      <w:pPr>
        <w:ind w:left="5400" w:hanging="360"/>
      </w:pPr>
    </w:lvl>
    <w:lvl w:ilvl="8" w:tplc="DF3483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0E42AE6">
      <w:start w:val="1"/>
      <w:numFmt w:val="bullet"/>
      <w:lvlText w:val=""/>
      <w:lvlJc w:val="left"/>
      <w:pPr>
        <w:ind w:left="720" w:hanging="360"/>
      </w:pPr>
      <w:rPr>
        <w:rFonts w:ascii="Symbol" w:hAnsi="Symbol" w:hint="default"/>
      </w:rPr>
    </w:lvl>
    <w:lvl w:ilvl="1" w:tplc="2B8E6302" w:tentative="1">
      <w:start w:val="1"/>
      <w:numFmt w:val="bullet"/>
      <w:lvlText w:val="o"/>
      <w:lvlJc w:val="left"/>
      <w:pPr>
        <w:ind w:left="1440" w:hanging="360"/>
      </w:pPr>
      <w:rPr>
        <w:rFonts w:ascii="Courier New" w:hAnsi="Courier New" w:cs="Courier New" w:hint="default"/>
      </w:rPr>
    </w:lvl>
    <w:lvl w:ilvl="2" w:tplc="DF7422DC" w:tentative="1">
      <w:start w:val="1"/>
      <w:numFmt w:val="bullet"/>
      <w:lvlText w:val=""/>
      <w:lvlJc w:val="left"/>
      <w:pPr>
        <w:ind w:left="2160" w:hanging="360"/>
      </w:pPr>
      <w:rPr>
        <w:rFonts w:ascii="Wingdings" w:hAnsi="Wingdings" w:hint="default"/>
      </w:rPr>
    </w:lvl>
    <w:lvl w:ilvl="3" w:tplc="D9B8F220" w:tentative="1">
      <w:start w:val="1"/>
      <w:numFmt w:val="bullet"/>
      <w:lvlText w:val=""/>
      <w:lvlJc w:val="left"/>
      <w:pPr>
        <w:ind w:left="2880" w:hanging="360"/>
      </w:pPr>
      <w:rPr>
        <w:rFonts w:ascii="Symbol" w:hAnsi="Symbol" w:hint="default"/>
      </w:rPr>
    </w:lvl>
    <w:lvl w:ilvl="4" w:tplc="3760DBDC" w:tentative="1">
      <w:start w:val="1"/>
      <w:numFmt w:val="bullet"/>
      <w:lvlText w:val="o"/>
      <w:lvlJc w:val="left"/>
      <w:pPr>
        <w:ind w:left="3600" w:hanging="360"/>
      </w:pPr>
      <w:rPr>
        <w:rFonts w:ascii="Courier New" w:hAnsi="Courier New" w:cs="Courier New" w:hint="default"/>
      </w:rPr>
    </w:lvl>
    <w:lvl w:ilvl="5" w:tplc="3E2A46A2" w:tentative="1">
      <w:start w:val="1"/>
      <w:numFmt w:val="bullet"/>
      <w:lvlText w:val=""/>
      <w:lvlJc w:val="left"/>
      <w:pPr>
        <w:ind w:left="4320" w:hanging="360"/>
      </w:pPr>
      <w:rPr>
        <w:rFonts w:ascii="Wingdings" w:hAnsi="Wingdings" w:hint="default"/>
      </w:rPr>
    </w:lvl>
    <w:lvl w:ilvl="6" w:tplc="404CF516" w:tentative="1">
      <w:start w:val="1"/>
      <w:numFmt w:val="bullet"/>
      <w:lvlText w:val=""/>
      <w:lvlJc w:val="left"/>
      <w:pPr>
        <w:ind w:left="5040" w:hanging="360"/>
      </w:pPr>
      <w:rPr>
        <w:rFonts w:ascii="Symbol" w:hAnsi="Symbol" w:hint="default"/>
      </w:rPr>
    </w:lvl>
    <w:lvl w:ilvl="7" w:tplc="EA9630F4" w:tentative="1">
      <w:start w:val="1"/>
      <w:numFmt w:val="bullet"/>
      <w:lvlText w:val="o"/>
      <w:lvlJc w:val="left"/>
      <w:pPr>
        <w:ind w:left="5760" w:hanging="360"/>
      </w:pPr>
      <w:rPr>
        <w:rFonts w:ascii="Courier New" w:hAnsi="Courier New" w:cs="Courier New" w:hint="default"/>
      </w:rPr>
    </w:lvl>
    <w:lvl w:ilvl="8" w:tplc="544EA020" w:tentative="1">
      <w:start w:val="1"/>
      <w:numFmt w:val="bullet"/>
      <w:lvlText w:val=""/>
      <w:lvlJc w:val="left"/>
      <w:pPr>
        <w:ind w:left="6480" w:hanging="360"/>
      </w:pPr>
      <w:rPr>
        <w:rFonts w:ascii="Wingdings" w:hAnsi="Wingdings" w:hint="default"/>
      </w:rPr>
    </w:lvl>
  </w:abstractNum>
  <w:num w:numId="1" w16cid:durableId="1091925560">
    <w:abstractNumId w:val="1"/>
  </w:num>
  <w:num w:numId="2" w16cid:durableId="13049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93"/>
    <w:rsid w:val="00297B79"/>
    <w:rsid w:val="003C1593"/>
    <w:rsid w:val="0084741A"/>
    <w:rsid w:val="00B07528"/>
    <w:rsid w:val="00B948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9874"/>
  <w15:docId w15:val="{47697865-D7B0-4F15-944D-64C672DD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11002</Words>
  <Characters>62716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2024-02-20T21:17:00Z</dcterms:created>
  <dcterms:modified xsi:type="dcterms:W3CDTF">2024-02-20T21:19:00Z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