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BD8F" w14:textId="77777777" w:rsidR="00460D43" w:rsidRDefault="00000000">
      <w:pPr>
        <w:pStyle w:val="Heading1"/>
        <w:rPr>
          <w:rFonts w:cs="Arial"/>
        </w:rPr>
      </w:pPr>
      <w:bookmarkStart w:id="0" w:name="PRMS_RIName"/>
      <w:r>
        <w:rPr>
          <w:rFonts w:cs="Arial"/>
        </w:rPr>
        <w:t>Kyber Health Care Limited - Waikiwi Gardens Rest Home</w:t>
      </w:r>
      <w:bookmarkEnd w:id="0"/>
    </w:p>
    <w:p w14:paraId="42320D56" w14:textId="77777777" w:rsidR="00460D43" w:rsidRDefault="00000000">
      <w:pPr>
        <w:pStyle w:val="Heading2"/>
        <w:spacing w:after="0"/>
        <w:rPr>
          <w:rFonts w:cs="Arial"/>
        </w:rPr>
      </w:pPr>
      <w:r>
        <w:rPr>
          <w:rFonts w:cs="Arial"/>
        </w:rPr>
        <w:t>Introduction</w:t>
      </w:r>
    </w:p>
    <w:p w14:paraId="153675C9"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55155D1"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7C561CCC"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E9BB134"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05E9CB5F" w14:textId="77777777" w:rsidR="00460D43" w:rsidRDefault="00000000">
      <w:pPr>
        <w:spacing w:before="240" w:after="240"/>
        <w:rPr>
          <w:rFonts w:cs="Arial"/>
          <w:lang w:eastAsia="en-NZ"/>
        </w:rPr>
      </w:pPr>
      <w:r>
        <w:rPr>
          <w:rFonts w:cs="Arial"/>
          <w:lang w:eastAsia="en-NZ"/>
        </w:rPr>
        <w:t>The specifics of this audit included:</w:t>
      </w:r>
    </w:p>
    <w:p w14:paraId="752BA6D1"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6AB9FA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Kyber Health Care Limited</w:t>
      </w:r>
      <w:bookmarkEnd w:id="4"/>
    </w:p>
    <w:p w14:paraId="2119A48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Waikiwi Gardens Rest Home</w:t>
      </w:r>
      <w:bookmarkEnd w:id="5"/>
    </w:p>
    <w:p w14:paraId="6FC9084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0E50ACE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December 2023</w:t>
      </w:r>
      <w:bookmarkEnd w:id="7"/>
      <w:r w:rsidRPr="009418D4">
        <w:rPr>
          <w:rFonts w:cs="Arial"/>
        </w:rPr>
        <w:tab/>
        <w:t xml:space="preserve">End date: </w:t>
      </w:r>
      <w:bookmarkStart w:id="8" w:name="AuditEndDate"/>
      <w:r>
        <w:rPr>
          <w:rFonts w:cs="Arial"/>
        </w:rPr>
        <w:t>15 December 2023</w:t>
      </w:r>
      <w:bookmarkEnd w:id="8"/>
    </w:p>
    <w:p w14:paraId="480694B4"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bed numbers increased from 42 to 45 since the last audit, this was confirmed in a letter from Manatū Hauora, Ministry of Health in April 2023 and also verified at this audit.</w:t>
      </w:r>
    </w:p>
    <w:bookmarkEnd w:id="9"/>
    <w:p w14:paraId="3F83955B" w14:textId="77777777" w:rsidR="00F02029"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14:paraId="3605A757"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1F181EF" w14:textId="77777777" w:rsidR="00460D43" w:rsidRDefault="00000000">
      <w:pPr>
        <w:pStyle w:val="Heading1"/>
        <w:rPr>
          <w:rFonts w:cs="Arial"/>
        </w:rPr>
      </w:pPr>
      <w:r>
        <w:rPr>
          <w:rFonts w:cs="Arial"/>
        </w:rPr>
        <w:lastRenderedPageBreak/>
        <w:t>Executive summary of the audit</w:t>
      </w:r>
    </w:p>
    <w:p w14:paraId="791272AE" w14:textId="77777777" w:rsidR="00460D43" w:rsidRDefault="00000000">
      <w:pPr>
        <w:pStyle w:val="Heading2"/>
        <w:rPr>
          <w:rFonts w:cs="Arial"/>
        </w:rPr>
      </w:pPr>
      <w:r>
        <w:rPr>
          <w:rFonts w:cs="Arial"/>
        </w:rPr>
        <w:t>Introduction</w:t>
      </w:r>
    </w:p>
    <w:p w14:paraId="53C67AA4"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05BC21E"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B32B8E3"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3EBBAF3"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56FE660"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0E5D281"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BC992B4"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F0DD656"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10E47E02"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02029" w14:paraId="40030D3C" w14:textId="77777777">
        <w:trPr>
          <w:cantSplit/>
          <w:tblHeader/>
        </w:trPr>
        <w:tc>
          <w:tcPr>
            <w:tcW w:w="1260" w:type="dxa"/>
            <w:tcBorders>
              <w:bottom w:val="single" w:sz="4" w:space="0" w:color="000000"/>
            </w:tcBorders>
            <w:vAlign w:val="center"/>
          </w:tcPr>
          <w:p w14:paraId="28C2C142"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27CD319"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9BB42EC" w14:textId="77777777" w:rsidR="00460D43" w:rsidRDefault="00000000">
            <w:pPr>
              <w:spacing w:before="60" w:after="60"/>
              <w:rPr>
                <w:rFonts w:eastAsia="Calibri"/>
                <w:b/>
                <w:szCs w:val="24"/>
              </w:rPr>
            </w:pPr>
            <w:r>
              <w:rPr>
                <w:rFonts w:eastAsia="Calibri"/>
                <w:b/>
                <w:szCs w:val="24"/>
              </w:rPr>
              <w:t>Definition</w:t>
            </w:r>
          </w:p>
        </w:tc>
      </w:tr>
      <w:tr w:rsidR="00F02029" w14:paraId="6109E6BF" w14:textId="77777777">
        <w:trPr>
          <w:cantSplit/>
          <w:trHeight w:val="964"/>
        </w:trPr>
        <w:tc>
          <w:tcPr>
            <w:tcW w:w="1260" w:type="dxa"/>
            <w:tcBorders>
              <w:bottom w:val="single" w:sz="4" w:space="0" w:color="000000"/>
            </w:tcBorders>
            <w:shd w:val="clear" w:color="0066FF" w:fill="0000FF"/>
            <w:vAlign w:val="center"/>
          </w:tcPr>
          <w:p w14:paraId="501F84CC"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4366351"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58D1922" w14:textId="0A227C70" w:rsidR="00460D43" w:rsidRDefault="00000000">
            <w:pPr>
              <w:spacing w:before="60" w:after="60"/>
              <w:ind w:left="50"/>
              <w:rPr>
                <w:rFonts w:eastAsia="Calibri"/>
                <w:szCs w:val="24"/>
              </w:rPr>
            </w:pPr>
            <w:r w:rsidRPr="00FB778F">
              <w:rPr>
                <w:rFonts w:eastAsia="Calibri"/>
                <w:szCs w:val="24"/>
              </w:rPr>
              <w:t xml:space="preserve">All subsections applicable to this service </w:t>
            </w:r>
            <w:r w:rsidR="000779CD">
              <w:rPr>
                <w:rFonts w:eastAsia="Calibri"/>
                <w:szCs w:val="24"/>
              </w:rPr>
              <w:t xml:space="preserve">are </w:t>
            </w:r>
            <w:r w:rsidRPr="00FB778F">
              <w:rPr>
                <w:rFonts w:eastAsia="Calibri"/>
                <w:szCs w:val="24"/>
              </w:rPr>
              <w:t>fully attained with some subsections exceeded</w:t>
            </w:r>
          </w:p>
        </w:tc>
      </w:tr>
      <w:tr w:rsidR="00F02029" w14:paraId="42FC9DED" w14:textId="77777777">
        <w:trPr>
          <w:cantSplit/>
          <w:trHeight w:val="964"/>
        </w:trPr>
        <w:tc>
          <w:tcPr>
            <w:tcW w:w="1260" w:type="dxa"/>
            <w:shd w:val="clear" w:color="33CC33" w:fill="00FF00"/>
            <w:vAlign w:val="center"/>
          </w:tcPr>
          <w:p w14:paraId="53E60C78" w14:textId="77777777" w:rsidR="00460D43" w:rsidRDefault="00000000">
            <w:pPr>
              <w:spacing w:before="60" w:after="60"/>
              <w:rPr>
                <w:rFonts w:eastAsia="Calibri"/>
                <w:szCs w:val="24"/>
              </w:rPr>
            </w:pPr>
          </w:p>
        </w:tc>
        <w:tc>
          <w:tcPr>
            <w:tcW w:w="7095" w:type="dxa"/>
            <w:shd w:val="clear" w:color="auto" w:fill="auto"/>
            <w:vAlign w:val="center"/>
          </w:tcPr>
          <w:p w14:paraId="3B7944B1"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64CFFC3" w14:textId="5CAB243C" w:rsidR="00460D43" w:rsidRDefault="00000000">
            <w:pPr>
              <w:spacing w:before="60" w:after="60"/>
              <w:ind w:left="50"/>
              <w:rPr>
                <w:rFonts w:eastAsia="Calibri"/>
                <w:szCs w:val="24"/>
              </w:rPr>
            </w:pPr>
            <w:r w:rsidRPr="00FB778F">
              <w:rPr>
                <w:rFonts w:eastAsia="Calibri"/>
                <w:szCs w:val="24"/>
              </w:rPr>
              <w:t xml:space="preserve">Subsections applicable to this service </w:t>
            </w:r>
            <w:r w:rsidR="000779CD">
              <w:rPr>
                <w:rFonts w:eastAsia="Calibri"/>
                <w:szCs w:val="24"/>
              </w:rPr>
              <w:t xml:space="preserve">are </w:t>
            </w:r>
            <w:r w:rsidRPr="00FB778F">
              <w:rPr>
                <w:rFonts w:eastAsia="Calibri"/>
                <w:szCs w:val="24"/>
              </w:rPr>
              <w:t>fully attained</w:t>
            </w:r>
          </w:p>
        </w:tc>
      </w:tr>
      <w:tr w:rsidR="00F02029" w14:paraId="2552F3C8" w14:textId="77777777">
        <w:trPr>
          <w:cantSplit/>
          <w:trHeight w:val="964"/>
        </w:trPr>
        <w:tc>
          <w:tcPr>
            <w:tcW w:w="1260" w:type="dxa"/>
            <w:tcBorders>
              <w:bottom w:val="single" w:sz="4" w:space="0" w:color="000000"/>
            </w:tcBorders>
            <w:shd w:val="clear" w:color="auto" w:fill="FFFF00"/>
            <w:vAlign w:val="center"/>
          </w:tcPr>
          <w:p w14:paraId="70436EE0" w14:textId="77777777" w:rsidR="00460D43" w:rsidRDefault="00000000">
            <w:pPr>
              <w:spacing w:before="60" w:after="60"/>
              <w:rPr>
                <w:rFonts w:eastAsia="Calibri"/>
                <w:szCs w:val="24"/>
              </w:rPr>
            </w:pPr>
          </w:p>
        </w:tc>
        <w:tc>
          <w:tcPr>
            <w:tcW w:w="7095" w:type="dxa"/>
            <w:shd w:val="clear" w:color="auto" w:fill="auto"/>
            <w:vAlign w:val="center"/>
          </w:tcPr>
          <w:p w14:paraId="66018926"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3F767B8" w14:textId="6EC2FEDA" w:rsidR="00460D43" w:rsidRDefault="00000000">
            <w:pPr>
              <w:spacing w:before="60" w:after="60"/>
              <w:ind w:left="50"/>
              <w:rPr>
                <w:rFonts w:eastAsia="Calibri"/>
                <w:szCs w:val="24"/>
              </w:rPr>
            </w:pPr>
            <w:r w:rsidRPr="00FB778F">
              <w:rPr>
                <w:rFonts w:eastAsia="Calibri"/>
                <w:szCs w:val="24"/>
              </w:rPr>
              <w:t xml:space="preserve">Some subsections applicable to this service </w:t>
            </w:r>
            <w:r w:rsidR="000779CD">
              <w:rPr>
                <w:rFonts w:eastAsia="Calibri"/>
                <w:szCs w:val="24"/>
              </w:rPr>
              <w:t xml:space="preserve">are </w:t>
            </w:r>
            <w:r w:rsidRPr="00FB778F">
              <w:rPr>
                <w:rFonts w:eastAsia="Calibri"/>
                <w:szCs w:val="24"/>
              </w:rPr>
              <w:t>partially attained and of low risk</w:t>
            </w:r>
          </w:p>
        </w:tc>
      </w:tr>
      <w:tr w:rsidR="00F02029" w14:paraId="58B948F1" w14:textId="77777777">
        <w:trPr>
          <w:cantSplit/>
          <w:trHeight w:val="964"/>
        </w:trPr>
        <w:tc>
          <w:tcPr>
            <w:tcW w:w="1260" w:type="dxa"/>
            <w:tcBorders>
              <w:bottom w:val="single" w:sz="4" w:space="0" w:color="000000"/>
            </w:tcBorders>
            <w:shd w:val="clear" w:color="auto" w:fill="FFC800"/>
            <w:vAlign w:val="center"/>
          </w:tcPr>
          <w:p w14:paraId="7A5F15BF"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CD23547"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752A60F" w14:textId="51DFB00F"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w:t>
            </w:r>
            <w:r w:rsidR="000779CD">
              <w:rPr>
                <w:rFonts w:eastAsia="Calibri"/>
                <w:szCs w:val="24"/>
              </w:rPr>
              <w:t xml:space="preserve">are </w:t>
            </w:r>
            <w:r>
              <w:rPr>
                <w:rFonts w:eastAsia="Calibri"/>
                <w:szCs w:val="24"/>
              </w:rPr>
              <w:t>partially attained and of medium or high risk and/or unattained and of low risk</w:t>
            </w:r>
          </w:p>
        </w:tc>
      </w:tr>
      <w:tr w:rsidR="00F02029" w14:paraId="2A0BAFBF" w14:textId="77777777">
        <w:trPr>
          <w:cantSplit/>
          <w:trHeight w:val="964"/>
        </w:trPr>
        <w:tc>
          <w:tcPr>
            <w:tcW w:w="1260" w:type="dxa"/>
            <w:shd w:val="clear" w:color="auto" w:fill="FF0000"/>
            <w:vAlign w:val="center"/>
          </w:tcPr>
          <w:p w14:paraId="573027EE" w14:textId="77777777" w:rsidR="00460D43" w:rsidRDefault="00000000">
            <w:pPr>
              <w:spacing w:before="60" w:after="60"/>
              <w:rPr>
                <w:rFonts w:eastAsia="Calibri"/>
                <w:szCs w:val="24"/>
              </w:rPr>
            </w:pPr>
          </w:p>
        </w:tc>
        <w:tc>
          <w:tcPr>
            <w:tcW w:w="7095" w:type="dxa"/>
            <w:shd w:val="clear" w:color="auto" w:fill="auto"/>
            <w:vAlign w:val="center"/>
          </w:tcPr>
          <w:p w14:paraId="6D78C241"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CC12DED" w14:textId="4D5AE9D8" w:rsidR="00460D43"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0779CD">
              <w:rPr>
                <w:rFonts w:eastAsia="Calibri"/>
                <w:szCs w:val="24"/>
              </w:rPr>
              <w:t xml:space="preserve">are </w:t>
            </w:r>
            <w:r>
              <w:rPr>
                <w:rFonts w:eastAsia="Calibri"/>
                <w:szCs w:val="24"/>
              </w:rPr>
              <w:t>unattained and of moderate or high risk</w:t>
            </w:r>
          </w:p>
        </w:tc>
      </w:tr>
    </w:tbl>
    <w:p w14:paraId="1D61F347" w14:textId="77777777" w:rsidR="00460D43" w:rsidRDefault="00000000">
      <w:pPr>
        <w:pStyle w:val="Heading2"/>
        <w:spacing w:after="0"/>
        <w:rPr>
          <w:rFonts w:cs="Arial"/>
        </w:rPr>
      </w:pPr>
      <w:r>
        <w:rPr>
          <w:rFonts w:cs="Arial"/>
        </w:rPr>
        <w:t>General overview of the audit</w:t>
      </w:r>
    </w:p>
    <w:p w14:paraId="51BEA9CF" w14:textId="77777777" w:rsidR="00E536CC" w:rsidRDefault="00000000">
      <w:pPr>
        <w:spacing w:before="240" w:line="276" w:lineRule="auto"/>
        <w:rPr>
          <w:rFonts w:eastAsia="Calibri"/>
        </w:rPr>
      </w:pPr>
      <w:bookmarkStart w:id="13" w:name="GeneralOverview"/>
      <w:r w:rsidRPr="00A4268A">
        <w:rPr>
          <w:rFonts w:eastAsia="Calibri"/>
        </w:rPr>
        <w:t xml:space="preserve">Waikiwi Gardens is certified to provide rest home level of care for up to 45 residents. On the days of the audit there were 35 residents. </w:t>
      </w:r>
    </w:p>
    <w:p w14:paraId="1A853AD3" w14:textId="77777777" w:rsidR="00F02029"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services contract with Te Whatu Ora Health New Zealand - Southern. The audit process included a review of policies and procedures, the review of residents and staff files, observations, and interviews with registered nurses, the general practitioner, residents, family/whānau, the facility manager and assistant manager.</w:t>
      </w:r>
    </w:p>
    <w:p w14:paraId="042E7537" w14:textId="77777777" w:rsidR="00F02029" w:rsidRPr="00A4268A" w:rsidRDefault="00000000">
      <w:pPr>
        <w:spacing w:before="240" w:line="276" w:lineRule="auto"/>
        <w:rPr>
          <w:rFonts w:eastAsia="Calibri"/>
        </w:rPr>
      </w:pPr>
      <w:r w:rsidRPr="00A4268A">
        <w:rPr>
          <w:rFonts w:eastAsia="Calibri"/>
        </w:rPr>
        <w:t>The facility managers are the owners of the service and have experience in aged care. They have a management background and oversee the day-to-day operations of the facility. The facility managers are supported by the assistant manager, registered nurses, administrator, support staff and experienced care assistants. There are quality systems and processes being implemented. Feedback from residents and family/whānau was positive about the care and the services provided. An orientation and in-service training programme are in place to provide staff with appropriate knowledge and skills to deliver care.</w:t>
      </w:r>
    </w:p>
    <w:p w14:paraId="05537A2D" w14:textId="77777777" w:rsidR="00F02029" w:rsidRPr="00A4268A" w:rsidRDefault="00000000">
      <w:pPr>
        <w:spacing w:before="240" w:line="276" w:lineRule="auto"/>
        <w:rPr>
          <w:rFonts w:eastAsia="Calibri"/>
        </w:rPr>
      </w:pPr>
      <w:r w:rsidRPr="00A4268A">
        <w:rPr>
          <w:rFonts w:eastAsia="Calibri"/>
        </w:rPr>
        <w:t xml:space="preserve">This certification audit identified improvements in relation to completion of mandatory training, care plan timeframes, interventions, monitoring and medication management. </w:t>
      </w:r>
    </w:p>
    <w:bookmarkEnd w:id="13"/>
    <w:p w14:paraId="6E82D6DA" w14:textId="77777777" w:rsidR="00F02029" w:rsidRPr="00A4268A" w:rsidRDefault="00F02029">
      <w:pPr>
        <w:spacing w:before="240" w:line="276" w:lineRule="auto"/>
        <w:rPr>
          <w:rFonts w:eastAsia="Calibri"/>
        </w:rPr>
      </w:pPr>
    </w:p>
    <w:p w14:paraId="2C79667A"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2029" w14:paraId="34E93F16" w14:textId="77777777" w:rsidTr="00A4268A">
        <w:trPr>
          <w:cantSplit/>
        </w:trPr>
        <w:tc>
          <w:tcPr>
            <w:tcW w:w="10206" w:type="dxa"/>
            <w:vAlign w:val="center"/>
          </w:tcPr>
          <w:p w14:paraId="485D24C5"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8587A3A"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555C2AF"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61A9595" w14:textId="5919198D" w:rsidR="00460D43" w:rsidRPr="00621629" w:rsidRDefault="00000000" w:rsidP="008F3634">
            <w:pPr>
              <w:spacing w:before="60" w:after="60" w:line="276" w:lineRule="auto"/>
              <w:rPr>
                <w:rFonts w:eastAsia="Calibri"/>
              </w:rPr>
            </w:pPr>
            <w:bookmarkStart w:id="15" w:name="IndicatorDescription1_1"/>
            <w:bookmarkEnd w:id="15"/>
            <w:r>
              <w:t xml:space="preserve">Subsections applicable to this service </w:t>
            </w:r>
            <w:r w:rsidR="000779CD">
              <w:t xml:space="preserve">are </w:t>
            </w:r>
            <w:r>
              <w:t>fully attained.</w:t>
            </w:r>
          </w:p>
        </w:tc>
      </w:tr>
    </w:tbl>
    <w:p w14:paraId="7325ED2E" w14:textId="77777777" w:rsidR="00460D43" w:rsidRDefault="00000000">
      <w:pPr>
        <w:spacing w:before="240" w:line="276" w:lineRule="auto"/>
        <w:rPr>
          <w:rFonts w:eastAsia="Calibri"/>
        </w:rPr>
      </w:pPr>
      <w:bookmarkStart w:id="16" w:name="ConsumerRights"/>
      <w:r w:rsidRPr="00A4268A">
        <w:rPr>
          <w:rFonts w:eastAsia="Calibri"/>
        </w:rPr>
        <w:t>Waikiwi Gardens provides an environment supporting resident rights and safe care. Details relating to the Health and Disability Commissioner’s Code of Health and Disability Services Consumers Rights (the Code) are included in the information packs given to new or potential residents and family/whānau. Staff demonstrate an understanding of residents' rights. A Māori health plan is documented for the service. The service works to embrace, support, and encourage a Māori worldview of health and provide high-quality and effective services for residents. A Pacific health plan is also in place. Services and support are provided to people in a way that is inclusive and respects their identity and experiences. Residents receive services in a manner that considers their dignity, privacy, and independence. The managers and staff listen to and respect the voices of the residents and effectively communicate with them about their choices. Care plans accommodate the choices of residents. The rights of the resident and/or their family/whānau to make a complaint is understood, respected, and upheld by the service</w:t>
      </w:r>
    </w:p>
    <w:bookmarkEnd w:id="16"/>
    <w:p w14:paraId="1108F4C6" w14:textId="77777777" w:rsidR="00F02029" w:rsidRPr="00A4268A" w:rsidRDefault="00F02029">
      <w:pPr>
        <w:spacing w:before="240" w:line="276" w:lineRule="auto"/>
        <w:rPr>
          <w:rFonts w:eastAsia="Calibri"/>
        </w:rPr>
      </w:pPr>
    </w:p>
    <w:p w14:paraId="1FA31B89"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2029" w14:paraId="4217D36C" w14:textId="77777777" w:rsidTr="00A4268A">
        <w:trPr>
          <w:cantSplit/>
        </w:trPr>
        <w:tc>
          <w:tcPr>
            <w:tcW w:w="10206" w:type="dxa"/>
            <w:vAlign w:val="center"/>
          </w:tcPr>
          <w:p w14:paraId="4F6414C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4D7F3253"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3BA6DED" w14:textId="5EF4C7EE" w:rsidR="00460D43" w:rsidRPr="00621629" w:rsidRDefault="00000000" w:rsidP="00621629">
            <w:pPr>
              <w:spacing w:before="60" w:after="60" w:line="276" w:lineRule="auto"/>
              <w:rPr>
                <w:rFonts w:eastAsia="Calibri"/>
              </w:rPr>
            </w:pPr>
            <w:bookmarkStart w:id="18" w:name="IndicatorDescription1_2"/>
            <w:bookmarkEnd w:id="18"/>
            <w:r>
              <w:t xml:space="preserve">Some subsections applicable to this service </w:t>
            </w:r>
            <w:r w:rsidR="000779CD">
              <w:t xml:space="preserve">are </w:t>
            </w:r>
            <w:r>
              <w:t>partially attained and of medium or high risk and/or unattained and of low risk.</w:t>
            </w:r>
          </w:p>
        </w:tc>
      </w:tr>
    </w:tbl>
    <w:p w14:paraId="2716A429" w14:textId="77777777" w:rsidR="00460D43" w:rsidRDefault="00000000">
      <w:pPr>
        <w:spacing w:before="240" w:line="276" w:lineRule="auto"/>
        <w:rPr>
          <w:rFonts w:eastAsia="Calibri"/>
        </w:rPr>
      </w:pPr>
      <w:bookmarkStart w:id="19" w:name="OrganisationalManagement"/>
      <w:r w:rsidRPr="00A4268A">
        <w:rPr>
          <w:rFonts w:eastAsia="Calibri"/>
        </w:rPr>
        <w:lastRenderedPageBreak/>
        <w:t xml:space="preserve">The business plan 2023-2025 includes key objectives/strategies that are regularly reviewed. Data is collected in relation to any complaints, accidents, incidents, and infections. Progress is monitored via internal audits and the collation of clinical indicator data. Corrective actions are implemented where opportunities for improvements are identified. Quality data and results are shared in the monthly general staff and combined management/quality improvement meetings. A health and safety programme is being implemented. Hazards are identified with appropriate interventions implemented. There is a staffing and rostering policy. Safe staffing levels were evident with a minimum of one registered nurse available on site five days a week. A registered nurse is on call for cover when not available on site. There are human resource policies including recruitment, job descriptions, selection, orientation and staff training and development. An orientation programme is implemented, and a staff education/training programme is in place. The service ensures the collection, storage, and use of personal and health information of residents is secure, accessible, and confidential. </w:t>
      </w:r>
    </w:p>
    <w:bookmarkEnd w:id="19"/>
    <w:p w14:paraId="2AA48F23" w14:textId="77777777" w:rsidR="00F02029" w:rsidRPr="00A4268A" w:rsidRDefault="00F02029">
      <w:pPr>
        <w:spacing w:before="240" w:line="276" w:lineRule="auto"/>
        <w:rPr>
          <w:rFonts w:eastAsia="Calibri"/>
        </w:rPr>
      </w:pPr>
    </w:p>
    <w:p w14:paraId="06140E2E"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2029" w14:paraId="1815518C" w14:textId="77777777" w:rsidTr="00A4268A">
        <w:trPr>
          <w:cantSplit/>
        </w:trPr>
        <w:tc>
          <w:tcPr>
            <w:tcW w:w="10206" w:type="dxa"/>
            <w:vAlign w:val="center"/>
          </w:tcPr>
          <w:p w14:paraId="4A70B3B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0ABEF8A"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F115C79" w14:textId="593A1FC6" w:rsidR="00460D43" w:rsidRPr="00621629" w:rsidRDefault="00000000" w:rsidP="00621629">
            <w:pPr>
              <w:spacing w:before="60" w:after="60" w:line="276" w:lineRule="auto"/>
              <w:rPr>
                <w:rFonts w:eastAsia="Calibri"/>
              </w:rPr>
            </w:pPr>
            <w:bookmarkStart w:id="21" w:name="IndicatorDescription1_3"/>
            <w:bookmarkEnd w:id="21"/>
            <w:r>
              <w:t xml:space="preserve">Some subsections applicable to this service </w:t>
            </w:r>
            <w:r w:rsidR="000779CD">
              <w:t xml:space="preserve">are </w:t>
            </w:r>
            <w:r>
              <w:t>partially attained and of medium or high risk and/or unattained and of low risk.</w:t>
            </w:r>
          </w:p>
        </w:tc>
      </w:tr>
    </w:tbl>
    <w:p w14:paraId="04E61532"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entry to service is efficiently managed by the assistant manager and registered nurses. Registered nurses are responsible for all aspects of care planning. Service integration is demonstrated in the care plans reviewed and were evaluated at least six-monthly. The service works in partnership with the residents and their family/whānau to assess, plan and evaluate care. Residents are reviewed regularly and referred to specialist services and to other health services as required. </w:t>
      </w:r>
    </w:p>
    <w:p w14:paraId="09C7CE86" w14:textId="77777777" w:rsidR="00F02029" w:rsidRPr="00A4268A" w:rsidRDefault="00000000" w:rsidP="00621629">
      <w:pPr>
        <w:spacing w:before="240" w:line="276" w:lineRule="auto"/>
        <w:rPr>
          <w:rFonts w:eastAsia="Calibri"/>
        </w:rPr>
      </w:pPr>
      <w:r w:rsidRPr="00A4268A">
        <w:rPr>
          <w:rFonts w:eastAsia="Calibri"/>
        </w:rPr>
        <w:lastRenderedPageBreak/>
        <w:t xml:space="preserve">Medication policies reflect legislative requirements and guidelines. Medication administration is the responsibility of the registered nurses and medication competent care assistants with the completion of annual education and medication competencies. The general practitioner reviews the medicine charts at least three-monthly. </w:t>
      </w:r>
    </w:p>
    <w:p w14:paraId="514A965D" w14:textId="77777777" w:rsidR="00F02029" w:rsidRPr="00A4268A" w:rsidRDefault="00000000" w:rsidP="00621629">
      <w:pPr>
        <w:spacing w:before="240" w:line="276" w:lineRule="auto"/>
        <w:rPr>
          <w:rFonts w:eastAsia="Calibri"/>
        </w:rPr>
      </w:pPr>
      <w:r w:rsidRPr="00A4268A">
        <w:rPr>
          <w:rFonts w:eastAsia="Calibri"/>
        </w:rPr>
        <w:t>Residents' food preferences and dietary requirements are identified at admission and all food and baking are prepared on site. A current food control plan is in place. Food is safely managed. Residents verified satisfaction with meals. The menu was reviewed by the dietitian in 2023.</w:t>
      </w:r>
    </w:p>
    <w:p w14:paraId="357743A7" w14:textId="77777777" w:rsidR="00F02029" w:rsidRPr="00A4268A" w:rsidRDefault="00000000" w:rsidP="00621629">
      <w:pPr>
        <w:spacing w:before="240" w:line="276" w:lineRule="auto"/>
        <w:rPr>
          <w:rFonts w:eastAsia="Calibri"/>
        </w:rPr>
      </w:pPr>
      <w:r w:rsidRPr="00A4268A">
        <w:rPr>
          <w:rFonts w:eastAsia="Calibri"/>
        </w:rPr>
        <w:t xml:space="preserve">All referrals, transfers and discharges are well planned and coordinated in partnership with resident and family/whānau. </w:t>
      </w:r>
    </w:p>
    <w:bookmarkEnd w:id="22"/>
    <w:p w14:paraId="3B6B3DA7" w14:textId="77777777" w:rsidR="00F02029" w:rsidRPr="00A4268A" w:rsidRDefault="00F02029" w:rsidP="00621629">
      <w:pPr>
        <w:spacing w:before="240" w:line="276" w:lineRule="auto"/>
        <w:rPr>
          <w:rFonts w:eastAsia="Calibri"/>
        </w:rPr>
      </w:pPr>
    </w:p>
    <w:p w14:paraId="1C28FD4C"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2029" w14:paraId="0984FE6E" w14:textId="77777777" w:rsidTr="00A4268A">
        <w:trPr>
          <w:cantSplit/>
        </w:trPr>
        <w:tc>
          <w:tcPr>
            <w:tcW w:w="10206" w:type="dxa"/>
            <w:vAlign w:val="center"/>
          </w:tcPr>
          <w:p w14:paraId="6B8A06FA"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93A91C5"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6F6EA3D" w14:textId="454508F6" w:rsidR="00460D43" w:rsidRPr="00621629" w:rsidRDefault="00000000" w:rsidP="00621629">
            <w:pPr>
              <w:spacing w:before="60" w:after="60" w:line="276" w:lineRule="auto"/>
              <w:rPr>
                <w:rFonts w:eastAsia="Calibri"/>
              </w:rPr>
            </w:pPr>
            <w:bookmarkStart w:id="24" w:name="IndicatorDescription1_4"/>
            <w:bookmarkEnd w:id="24"/>
            <w:r>
              <w:t xml:space="preserve">Subsections applicable to this service </w:t>
            </w:r>
            <w:r w:rsidR="000779CD">
              <w:t xml:space="preserve">are </w:t>
            </w:r>
            <w:r>
              <w:t>fully attained.</w:t>
            </w:r>
          </w:p>
        </w:tc>
      </w:tr>
    </w:tbl>
    <w:p w14:paraId="4E217463" w14:textId="77777777" w:rsidR="00460D43" w:rsidRDefault="00000000">
      <w:pPr>
        <w:spacing w:before="240" w:line="276" w:lineRule="auto"/>
        <w:rPr>
          <w:rFonts w:eastAsia="Calibri"/>
        </w:rPr>
      </w:pPr>
      <w:bookmarkStart w:id="25" w:name="SafeAndAppropriateEnvironment"/>
      <w:r w:rsidRPr="00A4268A">
        <w:rPr>
          <w:rFonts w:eastAsia="Calibri"/>
        </w:rPr>
        <w:t xml:space="preserve">Waikiwi Gardens is an environment safe and fit for purpose. There is a current building warrant of fitness. The facility is designed and maintained in a manner that supports independence. All resident rooms have call bells which are within easy reach of residents. </w:t>
      </w:r>
    </w:p>
    <w:p w14:paraId="747ADD2B" w14:textId="77777777" w:rsidR="00F02029" w:rsidRPr="00A4268A" w:rsidRDefault="00000000">
      <w:pPr>
        <w:spacing w:before="240" w:line="276" w:lineRule="auto"/>
        <w:rPr>
          <w:rFonts w:eastAsia="Calibri"/>
        </w:rPr>
      </w:pPr>
      <w:r w:rsidRPr="00A4268A">
        <w:rPr>
          <w:rFonts w:eastAsia="Calibri"/>
        </w:rPr>
        <w:t>Resident rooms are personalised and reflect cultural preferences. External areas are safe and well maintained, with shade and seating available. Fixtures, fittings, and flooring are appropriate, and toilets and shower facilities are conveniently located. Systems and supplies are in place for essential, emergency and security services. Testing, tagging, and calibration is completed as required. Security checks are performed by staff and security lights are installed internally and externally throughout the facility. There is always a staff member on duty with a current first aid certificate.</w:t>
      </w:r>
    </w:p>
    <w:p w14:paraId="2883A758" w14:textId="77777777" w:rsidR="00F02029" w:rsidRPr="00A4268A" w:rsidRDefault="00000000">
      <w:pPr>
        <w:spacing w:before="240" w:line="276" w:lineRule="auto"/>
        <w:rPr>
          <w:rFonts w:eastAsia="Calibri"/>
        </w:rPr>
      </w:pPr>
      <w:r w:rsidRPr="00A4268A">
        <w:rPr>
          <w:rFonts w:eastAsia="Calibri"/>
        </w:rPr>
        <w:t xml:space="preserve">Fire and emergency procedures are documented. Trial evacuations are conducted. Emergency supplies are available. All staff are trained in the management of emergencies. There is a call bell system with timely response times. </w:t>
      </w:r>
    </w:p>
    <w:p w14:paraId="5DB7A406" w14:textId="77777777" w:rsidR="00F02029" w:rsidRPr="00A4268A" w:rsidRDefault="00000000">
      <w:pPr>
        <w:spacing w:before="240" w:line="276" w:lineRule="auto"/>
        <w:rPr>
          <w:rFonts w:eastAsia="Calibri"/>
        </w:rPr>
      </w:pPr>
      <w:r w:rsidRPr="00A4268A">
        <w:rPr>
          <w:rFonts w:eastAsia="Calibri"/>
        </w:rPr>
        <w:lastRenderedPageBreak/>
        <w:t>Documented systems are in place for essential, emergency and security services. Staff have planned and implemented strategies for emergency management. Appropriate security measures are implemented.</w:t>
      </w:r>
    </w:p>
    <w:bookmarkEnd w:id="25"/>
    <w:p w14:paraId="691C57D6" w14:textId="77777777" w:rsidR="00F02029" w:rsidRPr="00A4268A" w:rsidRDefault="00F02029">
      <w:pPr>
        <w:spacing w:before="240" w:line="276" w:lineRule="auto"/>
        <w:rPr>
          <w:rFonts w:eastAsia="Calibri"/>
        </w:rPr>
      </w:pPr>
    </w:p>
    <w:p w14:paraId="7F62AEE4"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2029" w14:paraId="470EBDDD" w14:textId="77777777" w:rsidTr="00A4268A">
        <w:trPr>
          <w:cantSplit/>
        </w:trPr>
        <w:tc>
          <w:tcPr>
            <w:tcW w:w="10206" w:type="dxa"/>
            <w:vAlign w:val="center"/>
          </w:tcPr>
          <w:p w14:paraId="07DC4E3A"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9B1C20A"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36DD19A" w14:textId="2FF4D307" w:rsidR="00460D43" w:rsidRPr="00621629" w:rsidRDefault="00000000" w:rsidP="00621629">
            <w:pPr>
              <w:spacing w:before="60" w:after="60" w:line="276" w:lineRule="auto"/>
              <w:rPr>
                <w:rFonts w:eastAsia="Calibri"/>
              </w:rPr>
            </w:pPr>
            <w:bookmarkStart w:id="27" w:name="IndicatorDescription2"/>
            <w:bookmarkEnd w:id="27"/>
            <w:r>
              <w:t xml:space="preserve">Subsections applicable to this service </w:t>
            </w:r>
            <w:r w:rsidR="000779CD">
              <w:t xml:space="preserve">are </w:t>
            </w:r>
            <w:r>
              <w:t>fully attained.</w:t>
            </w:r>
          </w:p>
        </w:tc>
      </w:tr>
    </w:tbl>
    <w:p w14:paraId="1B96949D" w14:textId="77777777" w:rsidR="00460D43" w:rsidRDefault="00000000">
      <w:pPr>
        <w:spacing w:before="240" w:line="276" w:lineRule="auto"/>
        <w:rPr>
          <w:rFonts w:eastAsia="Calibri"/>
        </w:rPr>
      </w:pPr>
      <w:bookmarkStart w:id="28" w:name="RestraintMinimisationAndSafePractice"/>
      <w:r w:rsidRPr="00A4268A">
        <w:rPr>
          <w:rFonts w:eastAsia="Calibri"/>
        </w:rPr>
        <w:t>The infection prevention and control programme is implemented and meets the needs of the organisation and provides information and resources to inform the service providers. Staff demonstrated good understanding about the principles and practice around infection prevention and control; this is guided by relevant policies and supported through regular education. Te Whatu Ora -Southern staff provide external support and expertise. Infection control practices support tikanga guidelines.</w:t>
      </w:r>
    </w:p>
    <w:p w14:paraId="7AD00FE4" w14:textId="77777777" w:rsidR="00F02029" w:rsidRPr="00A4268A" w:rsidRDefault="00000000">
      <w:pPr>
        <w:spacing w:before="240" w:line="276" w:lineRule="auto"/>
        <w:rPr>
          <w:rFonts w:eastAsia="Calibri"/>
        </w:rPr>
      </w:pPr>
      <w:r w:rsidRPr="00A4268A">
        <w:rPr>
          <w:rFonts w:eastAsia="Calibri"/>
        </w:rPr>
        <w:t>Standardised definitions are used for the identification and classification of infection events. Results of surveillance are acted upon, evaluated, and reported on in a timely manner with staff. Internal benchmarking and comparison of data occurs with appropriate follow-up actions taken. Anti-microbial usage is monitored.</w:t>
      </w:r>
    </w:p>
    <w:p w14:paraId="1AFE9B43" w14:textId="77777777" w:rsidR="00F02029" w:rsidRPr="00A4268A" w:rsidRDefault="00000000">
      <w:pPr>
        <w:spacing w:before="240" w:line="276" w:lineRule="auto"/>
        <w:rPr>
          <w:rFonts w:eastAsia="Calibri"/>
        </w:rPr>
      </w:pPr>
      <w:r w:rsidRPr="00A4268A">
        <w:rPr>
          <w:rFonts w:eastAsia="Calibri"/>
        </w:rPr>
        <w:t xml:space="preserve">The service has a robust pandemic and outbreak management plan in place. Covid-19 response procedures are included to ensure screening of residents and visitors, and sufficient supply of protective equipment. The internal audit system monitors for a safe environment. There have been two outbreaks since the last audit. </w:t>
      </w:r>
    </w:p>
    <w:bookmarkEnd w:id="28"/>
    <w:p w14:paraId="34970F84" w14:textId="77777777" w:rsidR="00F02029" w:rsidRPr="00A4268A" w:rsidRDefault="00F02029">
      <w:pPr>
        <w:spacing w:before="240" w:line="276" w:lineRule="auto"/>
        <w:rPr>
          <w:rFonts w:eastAsia="Calibri"/>
        </w:rPr>
      </w:pPr>
    </w:p>
    <w:p w14:paraId="223AFAF2"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02029" w14:paraId="700BB71F" w14:textId="77777777" w:rsidTr="00A4268A">
        <w:trPr>
          <w:cantSplit/>
        </w:trPr>
        <w:tc>
          <w:tcPr>
            <w:tcW w:w="10206" w:type="dxa"/>
            <w:vAlign w:val="center"/>
          </w:tcPr>
          <w:p w14:paraId="4BB9CE09"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2220AFC"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F0C259C" w14:textId="19BEFCAC" w:rsidR="00460D43"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0779CD">
              <w:t xml:space="preserve">are </w:t>
            </w:r>
            <w:r>
              <w:t>fully attained.</w:t>
            </w:r>
          </w:p>
        </w:tc>
      </w:tr>
    </w:tbl>
    <w:p w14:paraId="0C7D1E38" w14:textId="77777777" w:rsidR="00460D43" w:rsidRDefault="00000000">
      <w:pPr>
        <w:spacing w:before="240" w:line="276" w:lineRule="auto"/>
        <w:rPr>
          <w:rFonts w:eastAsia="Calibri"/>
        </w:rPr>
      </w:pPr>
      <w:bookmarkStart w:id="31" w:name="InfectionPreventionAndControl"/>
      <w:r w:rsidRPr="00A4268A">
        <w:rPr>
          <w:rFonts w:eastAsia="Calibri"/>
        </w:rPr>
        <w:t xml:space="preserve">The restraint coordinator is a registered nurse. At the time of the audit there were no residents using restraint. Waikiwi Gardens considers least restrictive practices, implementing de-escalation techniques and alternative interventions, and would only use an approved restraint as the last resort. Maintaining a restraint-free environment is included in the education and training plan. </w:t>
      </w:r>
    </w:p>
    <w:bookmarkEnd w:id="31"/>
    <w:p w14:paraId="36FD0ADC" w14:textId="77777777" w:rsidR="00F02029" w:rsidRPr="00A4268A" w:rsidRDefault="00F02029">
      <w:pPr>
        <w:spacing w:before="240" w:line="276" w:lineRule="auto"/>
        <w:rPr>
          <w:rFonts w:eastAsia="Calibri"/>
        </w:rPr>
      </w:pPr>
    </w:p>
    <w:p w14:paraId="24965C76" w14:textId="77777777" w:rsidR="00460D43" w:rsidRDefault="00000000" w:rsidP="000E6E02">
      <w:pPr>
        <w:pStyle w:val="Heading2"/>
        <w:spacing w:before="0"/>
        <w:rPr>
          <w:rFonts w:cs="Arial"/>
        </w:rPr>
      </w:pPr>
      <w:r>
        <w:rPr>
          <w:rFonts w:cs="Arial"/>
        </w:rPr>
        <w:t>Summary of attainment</w:t>
      </w:r>
    </w:p>
    <w:p w14:paraId="3765D9BC"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02029" w14:paraId="5F66C81F" w14:textId="77777777">
        <w:tc>
          <w:tcPr>
            <w:tcW w:w="1384" w:type="dxa"/>
            <w:vAlign w:val="center"/>
          </w:tcPr>
          <w:p w14:paraId="595EC3F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391675A" w14:textId="77777777" w:rsidR="00460D43" w:rsidRDefault="00000000">
            <w:pPr>
              <w:keepNext/>
              <w:spacing w:before="60" w:after="60"/>
              <w:jc w:val="center"/>
              <w:rPr>
                <w:rFonts w:cs="Arial"/>
                <w:b/>
                <w:sz w:val="20"/>
                <w:szCs w:val="20"/>
              </w:rPr>
            </w:pPr>
            <w:r>
              <w:rPr>
                <w:rFonts w:cs="Arial"/>
                <w:b/>
                <w:sz w:val="20"/>
                <w:szCs w:val="20"/>
              </w:rPr>
              <w:t>Continuous Improvement</w:t>
            </w:r>
          </w:p>
          <w:p w14:paraId="1C36A224"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6F70CA0" w14:textId="77777777" w:rsidR="00460D43" w:rsidRDefault="00000000">
            <w:pPr>
              <w:keepNext/>
              <w:spacing w:before="60" w:after="60"/>
              <w:jc w:val="center"/>
              <w:rPr>
                <w:rFonts w:cs="Arial"/>
                <w:b/>
                <w:sz w:val="20"/>
                <w:szCs w:val="20"/>
              </w:rPr>
            </w:pPr>
            <w:r>
              <w:rPr>
                <w:rFonts w:cs="Arial"/>
                <w:b/>
                <w:sz w:val="20"/>
                <w:szCs w:val="20"/>
              </w:rPr>
              <w:t>Fully Attained</w:t>
            </w:r>
          </w:p>
          <w:p w14:paraId="7EAC5640"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475C678"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254BAEC1"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637BEEB0"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2480C835"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B8D4CCD"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76C85379"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7E3744A9"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9520367"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A595192"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5F9B2EFF" w14:textId="77777777" w:rsidR="00460D43" w:rsidRDefault="00000000">
            <w:pPr>
              <w:keepNext/>
              <w:spacing w:before="60" w:after="60"/>
              <w:jc w:val="center"/>
              <w:rPr>
                <w:rFonts w:cs="Arial"/>
                <w:b/>
                <w:sz w:val="20"/>
                <w:szCs w:val="20"/>
              </w:rPr>
            </w:pPr>
            <w:r>
              <w:rPr>
                <w:rFonts w:cs="Arial"/>
                <w:b/>
                <w:sz w:val="20"/>
                <w:szCs w:val="20"/>
              </w:rPr>
              <w:t>(PA Critical)</w:t>
            </w:r>
          </w:p>
        </w:tc>
      </w:tr>
      <w:tr w:rsidR="00F02029" w14:paraId="6AC740B4" w14:textId="77777777">
        <w:tc>
          <w:tcPr>
            <w:tcW w:w="1384" w:type="dxa"/>
            <w:vAlign w:val="center"/>
          </w:tcPr>
          <w:p w14:paraId="05184527"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F218E43"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55B5072"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6B29F06A"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2F90BE4"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74A0D8E"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1EF6F7B9"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38A46B5"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02029" w14:paraId="480F0C62" w14:textId="77777777">
        <w:tc>
          <w:tcPr>
            <w:tcW w:w="1384" w:type="dxa"/>
            <w:vAlign w:val="center"/>
          </w:tcPr>
          <w:p w14:paraId="790A2702"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15876E0B"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7954848"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162</w:t>
            </w:r>
            <w:bookmarkEnd w:id="40"/>
          </w:p>
        </w:tc>
        <w:tc>
          <w:tcPr>
            <w:tcW w:w="1843" w:type="dxa"/>
            <w:vAlign w:val="center"/>
          </w:tcPr>
          <w:p w14:paraId="0502B30C"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39B9260"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124B3D80"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6B831C0F"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FD84D02"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45AF076"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02029" w14:paraId="04774906" w14:textId="77777777">
        <w:tc>
          <w:tcPr>
            <w:tcW w:w="1384" w:type="dxa"/>
            <w:vAlign w:val="center"/>
          </w:tcPr>
          <w:p w14:paraId="2FC77EB7"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354ED87" w14:textId="77777777" w:rsidR="00460D43" w:rsidRDefault="00000000">
            <w:pPr>
              <w:keepNext/>
              <w:spacing w:before="60" w:after="60"/>
              <w:jc w:val="center"/>
              <w:rPr>
                <w:rFonts w:cs="Arial"/>
                <w:b/>
                <w:sz w:val="20"/>
                <w:szCs w:val="20"/>
              </w:rPr>
            </w:pPr>
            <w:r>
              <w:rPr>
                <w:rFonts w:cs="Arial"/>
                <w:b/>
                <w:sz w:val="20"/>
                <w:szCs w:val="20"/>
              </w:rPr>
              <w:t>Unattained Negligible Risk</w:t>
            </w:r>
          </w:p>
          <w:p w14:paraId="3C290C9D"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DD5C233" w14:textId="77777777" w:rsidR="00460D43" w:rsidRDefault="00000000">
            <w:pPr>
              <w:keepNext/>
              <w:spacing w:before="60" w:after="60"/>
              <w:jc w:val="center"/>
              <w:rPr>
                <w:rFonts w:cs="Arial"/>
                <w:b/>
                <w:sz w:val="20"/>
                <w:szCs w:val="20"/>
              </w:rPr>
            </w:pPr>
            <w:r>
              <w:rPr>
                <w:rFonts w:cs="Arial"/>
                <w:b/>
                <w:sz w:val="20"/>
                <w:szCs w:val="20"/>
              </w:rPr>
              <w:t>Unattained Low Risk</w:t>
            </w:r>
          </w:p>
          <w:p w14:paraId="5C87C5DD"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FBE96FC" w14:textId="77777777" w:rsidR="00460D43" w:rsidRDefault="00000000">
            <w:pPr>
              <w:keepNext/>
              <w:spacing w:before="60" w:after="60"/>
              <w:jc w:val="center"/>
              <w:rPr>
                <w:rFonts w:cs="Arial"/>
                <w:b/>
                <w:sz w:val="20"/>
                <w:szCs w:val="20"/>
              </w:rPr>
            </w:pPr>
            <w:r>
              <w:rPr>
                <w:rFonts w:cs="Arial"/>
                <w:b/>
                <w:sz w:val="20"/>
                <w:szCs w:val="20"/>
              </w:rPr>
              <w:t>Unattained Moderate Risk</w:t>
            </w:r>
          </w:p>
          <w:p w14:paraId="2DB32A5F"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D6D5CC5" w14:textId="77777777" w:rsidR="00460D43" w:rsidRDefault="00000000">
            <w:pPr>
              <w:keepNext/>
              <w:spacing w:before="60" w:after="60"/>
              <w:jc w:val="center"/>
              <w:rPr>
                <w:rFonts w:cs="Arial"/>
                <w:b/>
                <w:sz w:val="20"/>
                <w:szCs w:val="20"/>
              </w:rPr>
            </w:pPr>
            <w:r>
              <w:rPr>
                <w:rFonts w:cs="Arial"/>
                <w:b/>
                <w:sz w:val="20"/>
                <w:szCs w:val="20"/>
              </w:rPr>
              <w:t>Unattained High Risk</w:t>
            </w:r>
          </w:p>
          <w:p w14:paraId="778CDEBC"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249C516" w14:textId="77777777" w:rsidR="00460D43" w:rsidRDefault="00000000">
            <w:pPr>
              <w:keepNext/>
              <w:spacing w:before="60" w:after="60"/>
              <w:jc w:val="center"/>
              <w:rPr>
                <w:rFonts w:cs="Arial"/>
                <w:b/>
                <w:sz w:val="20"/>
                <w:szCs w:val="20"/>
              </w:rPr>
            </w:pPr>
            <w:r>
              <w:rPr>
                <w:rFonts w:cs="Arial"/>
                <w:b/>
                <w:sz w:val="20"/>
                <w:szCs w:val="20"/>
              </w:rPr>
              <w:t>Unattained Critical Risk</w:t>
            </w:r>
          </w:p>
          <w:p w14:paraId="131AC153" w14:textId="77777777" w:rsidR="00460D43" w:rsidRDefault="00000000">
            <w:pPr>
              <w:keepNext/>
              <w:spacing w:before="60" w:after="60"/>
              <w:jc w:val="center"/>
              <w:rPr>
                <w:rFonts w:cs="Arial"/>
                <w:b/>
                <w:sz w:val="20"/>
                <w:szCs w:val="20"/>
              </w:rPr>
            </w:pPr>
            <w:r>
              <w:rPr>
                <w:rFonts w:cs="Arial"/>
                <w:b/>
                <w:sz w:val="20"/>
                <w:szCs w:val="20"/>
              </w:rPr>
              <w:t>(UA Critical)</w:t>
            </w:r>
          </w:p>
        </w:tc>
      </w:tr>
      <w:tr w:rsidR="00F02029" w14:paraId="7EF2F8A5" w14:textId="77777777">
        <w:tc>
          <w:tcPr>
            <w:tcW w:w="1384" w:type="dxa"/>
            <w:vAlign w:val="center"/>
          </w:tcPr>
          <w:p w14:paraId="6F3923AC"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E1A7C09"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9155D87"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3B1F26A"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CAD9556"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A46F35D"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02029" w14:paraId="733648F3" w14:textId="77777777">
        <w:tc>
          <w:tcPr>
            <w:tcW w:w="1384" w:type="dxa"/>
            <w:vAlign w:val="center"/>
          </w:tcPr>
          <w:p w14:paraId="4A39C52E"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254E5DA3"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A6B0D95"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7F4DF07"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81CD779"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583252E"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4997A0F"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EEC349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w:t>
      </w:r>
      <w:r>
        <w:rPr>
          <w:rFonts w:cs="Arial"/>
          <w:sz w:val="24"/>
          <w:szCs w:val="24"/>
          <w:lang w:eastAsia="en-NZ"/>
        </w:rPr>
        <w:t>ubsections are assessed at every audit.</w:t>
      </w:r>
    </w:p>
    <w:p w14:paraId="16AA65F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21677C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54"/>
        <w:gridCol w:w="6436"/>
      </w:tblGrid>
      <w:tr w:rsidR="00F02029" w14:paraId="745BB1B7" w14:textId="77777777">
        <w:tc>
          <w:tcPr>
            <w:tcW w:w="0" w:type="auto"/>
          </w:tcPr>
          <w:p w14:paraId="52FE7006"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61C88C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FB6D6D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F02029" w14:paraId="2F5CA027" w14:textId="77777777">
        <w:tc>
          <w:tcPr>
            <w:tcW w:w="0" w:type="auto"/>
          </w:tcPr>
          <w:p w14:paraId="7CBDB69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51365B4"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4315494" w14:textId="77777777" w:rsidR="00EB7645" w:rsidRPr="00BE00C7" w:rsidRDefault="00000000" w:rsidP="00BE00C7">
            <w:pPr>
              <w:pStyle w:val="OutcomeDescription"/>
              <w:spacing w:before="120" w:after="120"/>
              <w:rPr>
                <w:rFonts w:cs="Arial"/>
                <w:lang w:eastAsia="en-NZ"/>
              </w:rPr>
            </w:pPr>
          </w:p>
        </w:tc>
        <w:tc>
          <w:tcPr>
            <w:tcW w:w="0" w:type="auto"/>
          </w:tcPr>
          <w:p w14:paraId="13866F5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6ADBBD" w14:textId="77777777" w:rsidR="00EB7645" w:rsidRPr="00BE00C7" w:rsidRDefault="00000000" w:rsidP="00BE00C7">
            <w:pPr>
              <w:pStyle w:val="OutcomeDescription"/>
              <w:spacing w:before="120" w:after="120"/>
              <w:rPr>
                <w:rFonts w:cs="Arial"/>
                <w:lang w:eastAsia="en-NZ"/>
              </w:rPr>
            </w:pPr>
            <w:r w:rsidRPr="00BE00C7">
              <w:rPr>
                <w:rFonts w:cs="Arial"/>
                <w:lang w:eastAsia="en-NZ"/>
              </w:rPr>
              <w:t>A Māori health plan and associated cultural policies are documented for the service. The management and staff at Waikiwi Gardens are committed to providing services in a culturally appropriate manner and to ensure that the integrity of each person’s culture is acknowledged, respected, and maintained. At the time of the audit there were residents and staff who identified as Māori.</w:t>
            </w:r>
          </w:p>
          <w:p w14:paraId="497CA7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Key relationships with Māori are in place. Cultural advice is available through a variety of Māori agencies. The facility has links with the chief executive officer (CEO) of Ngā Kete Mātauranga Pounamu who provides support and guidance for Māori staff, residents and whānau. </w:t>
            </w:r>
          </w:p>
          <w:p w14:paraId="4E3DF1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owner/managers, assistant manager and staff have completed cultural safety training, including Te Tiriti o Waitangi training. This training takes place during staff orientation and continues as a regular in-service topic. Te Tiriti o Waitangi training covers how the principles of partnership, protection and participation are enacted in the work with residents. Staff members’ cultural expertise is monitored through cultural competency assessments. </w:t>
            </w:r>
          </w:p>
          <w:p w14:paraId="395A7B2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increasing Māori capacity by employing more Māori staff members though connections in the community and through Māori staff currently employed. Residents and whānau are </w:t>
            </w:r>
            <w:r w:rsidRPr="00BE00C7">
              <w:rPr>
                <w:rFonts w:cs="Arial"/>
                <w:lang w:eastAsia="en-NZ"/>
              </w:rPr>
              <w:lastRenderedPageBreak/>
              <w:t>involved in providing input into the resident’s care planning, their activities, and their dietary needs. This was evidenced in interviews with six residents and four family/whānau. The two owner/managers, assistant manager and eight care staff, including two registered nurses (RN), one enrolled nurse (EN) and five care assistants described how the delivery of care is based on each resident’s values and beliefs</w:t>
            </w:r>
          </w:p>
          <w:p w14:paraId="5F327FC5" w14:textId="77777777" w:rsidR="00EB7645" w:rsidRPr="00BE00C7" w:rsidRDefault="00000000" w:rsidP="00BE00C7">
            <w:pPr>
              <w:pStyle w:val="OutcomeDescription"/>
              <w:spacing w:before="120" w:after="120"/>
              <w:rPr>
                <w:rFonts w:cs="Arial"/>
                <w:lang w:eastAsia="en-NZ"/>
              </w:rPr>
            </w:pPr>
          </w:p>
        </w:tc>
      </w:tr>
      <w:tr w:rsidR="00F02029" w14:paraId="51156078" w14:textId="77777777">
        <w:tc>
          <w:tcPr>
            <w:tcW w:w="0" w:type="auto"/>
          </w:tcPr>
          <w:p w14:paraId="0F78CE1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887EF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1ED6822" w14:textId="77777777" w:rsidR="00EB7645" w:rsidRPr="00BE00C7" w:rsidRDefault="00000000" w:rsidP="00BE00C7">
            <w:pPr>
              <w:pStyle w:val="OutcomeDescription"/>
              <w:spacing w:before="120" w:after="120"/>
              <w:rPr>
                <w:rFonts w:cs="Arial"/>
                <w:lang w:eastAsia="en-NZ"/>
              </w:rPr>
            </w:pPr>
          </w:p>
        </w:tc>
        <w:tc>
          <w:tcPr>
            <w:tcW w:w="0" w:type="auto"/>
          </w:tcPr>
          <w:p w14:paraId="0BC09B1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0AD12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Pacific health plan is documented that focuses on achieving equity and efficient provision of care for Pasifika people. Pacific culture, language, faith, and family values form the basis of their health plan. The Pacific health plan has had input from the Pacific community and staff. The plan addresses equity of access, reflecting the needs of Pasifika, collaboration with spiritual leaders and operating in ways that are culturally safe. </w:t>
            </w:r>
          </w:p>
          <w:p w14:paraId="750658B6" w14:textId="77777777" w:rsidR="00EB7645" w:rsidRPr="00BE00C7" w:rsidRDefault="00000000" w:rsidP="00BE00C7">
            <w:pPr>
              <w:pStyle w:val="OutcomeDescription"/>
              <w:spacing w:before="120" w:after="120"/>
              <w:rPr>
                <w:rFonts w:cs="Arial"/>
                <w:lang w:eastAsia="en-NZ"/>
              </w:rPr>
            </w:pPr>
            <w:r w:rsidRPr="00BE00C7">
              <w:rPr>
                <w:rFonts w:cs="Arial"/>
                <w:lang w:eastAsia="en-NZ"/>
              </w:rPr>
              <w:t>On admission all residents state their ethnicity. Individual cultural beliefs are documented for all residents in their care plan and activities plan. The service actively encourages and supports any staff that identifies as Pasifika during the interview process. There were residents and staff who identified as Pasifika at the time of the audit. The service has connections with the Pacific Island Advisory &amp; Cultural Trust for any support and guidance for Pasifika people.</w:t>
            </w:r>
          </w:p>
          <w:p w14:paraId="0F863EC6"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management, and twelve staff, including eight care staff, one activities coordinator, one laundry person, one cook and one maintenance person confirmed the service puts people using the services and the local community at the heart of their services</w:t>
            </w:r>
          </w:p>
          <w:p w14:paraId="2C22E0C3" w14:textId="77777777" w:rsidR="00EB7645" w:rsidRPr="00BE00C7" w:rsidRDefault="00000000" w:rsidP="00BE00C7">
            <w:pPr>
              <w:pStyle w:val="OutcomeDescription"/>
              <w:spacing w:before="120" w:after="120"/>
              <w:rPr>
                <w:rFonts w:cs="Arial"/>
                <w:lang w:eastAsia="en-NZ"/>
              </w:rPr>
            </w:pPr>
          </w:p>
        </w:tc>
      </w:tr>
      <w:tr w:rsidR="00F02029" w14:paraId="559A930E" w14:textId="77777777">
        <w:tc>
          <w:tcPr>
            <w:tcW w:w="0" w:type="auto"/>
          </w:tcPr>
          <w:p w14:paraId="3C22CE4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1E518A1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w:t>
            </w:r>
            <w:r w:rsidRPr="00BE00C7">
              <w:rPr>
                <w:rFonts w:cs="Arial"/>
                <w:lang w:eastAsia="en-NZ"/>
              </w:rPr>
              <w:lastRenderedPageBreak/>
              <w:t>a way that upholds their rights and complies with legal requirements.</w:t>
            </w:r>
          </w:p>
          <w:p w14:paraId="392A47BA" w14:textId="77777777" w:rsidR="00EB7645" w:rsidRPr="00BE00C7" w:rsidRDefault="00000000" w:rsidP="00BE00C7">
            <w:pPr>
              <w:pStyle w:val="OutcomeDescription"/>
              <w:spacing w:before="120" w:after="120"/>
              <w:rPr>
                <w:rFonts w:cs="Arial"/>
                <w:lang w:eastAsia="en-NZ"/>
              </w:rPr>
            </w:pPr>
          </w:p>
        </w:tc>
        <w:tc>
          <w:tcPr>
            <w:tcW w:w="0" w:type="auto"/>
          </w:tcPr>
          <w:p w14:paraId="260E821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A165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Disability Services Consumers’ Rights (the Code) is displayed in English and te reo Māori. Details relating to the Code are included in the information that is provided to new residents and their family/whānau. The owner/managers or RN discuss aspects of the Code with residents and their family/whānau on admission. Residents or their enduring power of attorney (EPOA) sign to acknowledge that </w:t>
            </w:r>
            <w:r w:rsidRPr="00BE00C7">
              <w:rPr>
                <w:rFonts w:cs="Arial"/>
                <w:lang w:eastAsia="en-NZ"/>
              </w:rPr>
              <w:lastRenderedPageBreak/>
              <w:t xml:space="preserve">they have been provided with written information explaining the Code and its application to an aged care environment. Interviews with residents confirmed their understanding of their rights. Discussions relating to the Code are held during the quarterly resident meetings. </w:t>
            </w:r>
          </w:p>
          <w:p w14:paraId="6BCC35B4"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residents and family/whānau interviewed reported that the service is upholding the residents’ rights. Interactions observed between staff and residents during the audit were respectful. Information about the Nationwide Health and Disability Advocacy Service is available to residents at the entrance and in the entry pack of information that is provided. There are links to spiritual supports. Staff receive education in relation to the Code at orientation and through the education and training programme which includes (but is not limited to) understanding the role of advocacy services. Advocacy services are linked to the complaints process, with contact details included on the complaints form. The service recognises Māori mana motuhake as evidenced in the Māori health plan and through interviewing the owner/managers.</w:t>
            </w:r>
          </w:p>
          <w:p w14:paraId="1435235E" w14:textId="77777777" w:rsidR="00EB7645" w:rsidRPr="00BE00C7" w:rsidRDefault="00000000" w:rsidP="00BE00C7">
            <w:pPr>
              <w:pStyle w:val="OutcomeDescription"/>
              <w:spacing w:before="120" w:after="120"/>
              <w:rPr>
                <w:rFonts w:cs="Arial"/>
                <w:lang w:eastAsia="en-NZ"/>
              </w:rPr>
            </w:pPr>
          </w:p>
        </w:tc>
      </w:tr>
      <w:tr w:rsidR="00F02029" w14:paraId="21A17B51" w14:textId="77777777">
        <w:tc>
          <w:tcPr>
            <w:tcW w:w="0" w:type="auto"/>
          </w:tcPr>
          <w:p w14:paraId="26086BF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2C236B9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5E3D09B" w14:textId="77777777" w:rsidR="00EB7645" w:rsidRPr="00BE00C7" w:rsidRDefault="00000000" w:rsidP="00BE00C7">
            <w:pPr>
              <w:pStyle w:val="OutcomeDescription"/>
              <w:spacing w:before="120" w:after="120"/>
              <w:rPr>
                <w:rFonts w:cs="Arial"/>
                <w:lang w:eastAsia="en-NZ"/>
              </w:rPr>
            </w:pPr>
          </w:p>
        </w:tc>
        <w:tc>
          <w:tcPr>
            <w:tcW w:w="0" w:type="auto"/>
          </w:tcPr>
          <w:p w14:paraId="6FC6A61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DED41D"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assistants interviewed described how they support residents to choose what they want to do. Residents interviewed stated they have choice. Residents are supported to make decisions about whether they would like family/whānau members to be involved in their care. Residents also have control and choice over activities they participate in. It was observed that residents are treated with dignity and respect. Resident and relatives 2023 satisfaction survey results confirm that residents are treated with respect. This was also confirmed during interviews with residents and family/whānau. A sexuality and intimacy policy is in place. Staff interviewed stated they respect each resident’s right to have space for intimate relationships. Sexuality and intimacy are addressed in the resident’s care plan.</w:t>
            </w:r>
          </w:p>
          <w:p w14:paraId="297C3D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use person-centred and respectful language with residents. Residents interviewed were positive about the service in relation to their values and beliefs being considered and met. Privacy is ensured and independence is encouraged. The residents' files reviewed identified residents’ preferred names. Values and beliefs information is gathered on admission with family involvement </w:t>
            </w:r>
            <w:r w:rsidRPr="00BE00C7">
              <w:rPr>
                <w:rFonts w:cs="Arial"/>
                <w:lang w:eastAsia="en-NZ"/>
              </w:rPr>
              <w:lastRenderedPageBreak/>
              <w:t>and is integrated into the residents' care plans. Spiritual needs are identified. A spirituality policy is in place. Te reo Māori signage is evident throughout the facility and use of the language is promoted. Te Tiriti o Waitangi and tikanga Māori training are included in the education planner. The Māori health plan acknowledges te ao Māori; referencing the interconnectedness and interrelationship of all living and non-living things.</w:t>
            </w:r>
          </w:p>
          <w:p w14:paraId="1E5E459E" w14:textId="77777777" w:rsidR="00EB7645" w:rsidRPr="00BE00C7" w:rsidRDefault="00000000" w:rsidP="00BE00C7">
            <w:pPr>
              <w:pStyle w:val="OutcomeDescription"/>
              <w:spacing w:before="120" w:after="120"/>
              <w:rPr>
                <w:rFonts w:cs="Arial"/>
                <w:lang w:eastAsia="en-NZ"/>
              </w:rPr>
            </w:pPr>
          </w:p>
        </w:tc>
      </w:tr>
      <w:tr w:rsidR="00F02029" w14:paraId="01445CB3" w14:textId="77777777">
        <w:tc>
          <w:tcPr>
            <w:tcW w:w="0" w:type="auto"/>
          </w:tcPr>
          <w:p w14:paraId="4B049FC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B7173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A7AEE87" w14:textId="77777777" w:rsidR="00EB7645" w:rsidRPr="00BE00C7" w:rsidRDefault="00000000" w:rsidP="00BE00C7">
            <w:pPr>
              <w:pStyle w:val="OutcomeDescription"/>
              <w:spacing w:before="120" w:after="120"/>
              <w:rPr>
                <w:rFonts w:cs="Arial"/>
                <w:lang w:eastAsia="en-NZ"/>
              </w:rPr>
            </w:pPr>
          </w:p>
        </w:tc>
        <w:tc>
          <w:tcPr>
            <w:tcW w:w="0" w:type="auto"/>
          </w:tcPr>
          <w:p w14:paraId="791D671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807CF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abuse and neglect policy is being implemented. Waikiwi Gardens policies aim to prevent any form of discrimination, coercion, harassment, or any other exploitation. The service is inclusive of all ethnicities, and cultural days are completed to celebrate diversity within the service. A code of conduct is discussed with staff during their induction to the service and addresses the service’s zero tolerance to harassment, racism, and bullying. This document is signed and held in their employee file. Staff are educated on how to value the older person, showing them respect and dignity. </w:t>
            </w:r>
          </w:p>
          <w:p w14:paraId="5EB3BA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and family/whānau interviewed confirmed that the staff are very caring, supportive, and respectful. Police checks are completed as part of the employment process. The service implements a process to manage residents’ comfort funds, such as sundry expenses. Professional boundaries are defined in job descriptions. Interviews with the owner/managers and staff confirmed their understanding of professional boundaries, including the boundaries of their job role and responsibilities. Professional boundaries are covered as part of orientation. A strengths-based and holistic model is prioritised in the Māori health plan to facilitate wellbeing outcomes for Māori residents.</w:t>
            </w:r>
          </w:p>
          <w:p w14:paraId="3009C12B" w14:textId="77777777" w:rsidR="00EB7645" w:rsidRPr="00BE00C7" w:rsidRDefault="00000000" w:rsidP="00BE00C7">
            <w:pPr>
              <w:pStyle w:val="OutcomeDescription"/>
              <w:spacing w:before="120" w:after="120"/>
              <w:rPr>
                <w:rFonts w:cs="Arial"/>
                <w:lang w:eastAsia="en-NZ"/>
              </w:rPr>
            </w:pPr>
          </w:p>
        </w:tc>
      </w:tr>
      <w:tr w:rsidR="00F02029" w14:paraId="3DEBE8D8" w14:textId="77777777">
        <w:tc>
          <w:tcPr>
            <w:tcW w:w="0" w:type="auto"/>
          </w:tcPr>
          <w:p w14:paraId="36A4FCD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7284BE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Tiriti: Services are easy to access and navigate and give clear </w:t>
            </w:r>
            <w:r w:rsidRPr="00BE00C7">
              <w:rPr>
                <w:rFonts w:cs="Arial"/>
                <w:lang w:eastAsia="en-NZ"/>
              </w:rPr>
              <w:lastRenderedPageBreak/>
              <w:t>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9945188" w14:textId="77777777" w:rsidR="00EB7645" w:rsidRPr="00BE00C7" w:rsidRDefault="00000000" w:rsidP="00BE00C7">
            <w:pPr>
              <w:pStyle w:val="OutcomeDescription"/>
              <w:spacing w:before="120" w:after="120"/>
              <w:rPr>
                <w:rFonts w:cs="Arial"/>
                <w:lang w:eastAsia="en-NZ"/>
              </w:rPr>
            </w:pPr>
          </w:p>
        </w:tc>
        <w:tc>
          <w:tcPr>
            <w:tcW w:w="0" w:type="auto"/>
          </w:tcPr>
          <w:p w14:paraId="7A08C85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F993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Quarterly resident meetings identify feedback from residents and consequent follow up by the service. Policies and procedures relating to accident/incidents, complaints, and open disclosure policy alert staff to their responsibility to notify family/whānau of any adverse event that occurs. Accident/incident forms have a section to indicate if </w:t>
            </w:r>
            <w:r w:rsidRPr="00BE00C7">
              <w:rPr>
                <w:rFonts w:cs="Arial"/>
                <w:lang w:eastAsia="en-NZ"/>
              </w:rPr>
              <w:lastRenderedPageBreak/>
              <w:t xml:space="preserve">family/whānau have been informed (or not). Family/whānau interviewed stated that they are kept informed when their family member’s health status changes or if there has been an adverse event. The accident/incident forms reviewed evidenced this. </w:t>
            </w:r>
          </w:p>
          <w:p w14:paraId="2A9132B2" w14:textId="77777777" w:rsidR="00EB7645" w:rsidRPr="00BE00C7" w:rsidRDefault="00000000" w:rsidP="00BE00C7">
            <w:pPr>
              <w:pStyle w:val="OutcomeDescription"/>
              <w:spacing w:before="120" w:after="120"/>
              <w:rPr>
                <w:rFonts w:cs="Arial"/>
                <w:lang w:eastAsia="en-NZ"/>
              </w:rPr>
            </w:pPr>
            <w:r w:rsidRPr="00BE00C7">
              <w:rPr>
                <w:rFonts w:cs="Arial"/>
                <w:lang w:eastAsia="en-NZ"/>
              </w:rPr>
              <w:t>An interpreter policy and contact details of interpreters are available. Interpreter services are used where indicated. At the time of the audit there were two residents who were unable to speak or understand English. One of the staff members is able to translate for the residents. Non-subsidised residents are advised in writing of their eligibility and the process to become a subsidised resident should they wish to do so. The residents and family/whānau are informed prior to entry of the scope of services and any items that are not covered by the agreement. Health professionals involved with the residents may include specialist services (eg, mental health team). The owner/managers described an implemented process around providing residents with time for discussion around care, time to consider decisions, and opportunities for further discussion, if required.</w:t>
            </w:r>
          </w:p>
          <w:p w14:paraId="1F52935C" w14:textId="77777777" w:rsidR="00EB7645" w:rsidRPr="00BE00C7" w:rsidRDefault="00000000" w:rsidP="00BE00C7">
            <w:pPr>
              <w:pStyle w:val="OutcomeDescription"/>
              <w:spacing w:before="120" w:after="120"/>
              <w:rPr>
                <w:rFonts w:cs="Arial"/>
                <w:lang w:eastAsia="en-NZ"/>
              </w:rPr>
            </w:pPr>
          </w:p>
        </w:tc>
      </w:tr>
      <w:tr w:rsidR="00F02029" w14:paraId="449866BB" w14:textId="77777777">
        <w:tc>
          <w:tcPr>
            <w:tcW w:w="0" w:type="auto"/>
          </w:tcPr>
          <w:p w14:paraId="1E5077B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00C97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E130C79" w14:textId="77777777" w:rsidR="00EB7645" w:rsidRPr="00BE00C7" w:rsidRDefault="00000000" w:rsidP="00BE00C7">
            <w:pPr>
              <w:pStyle w:val="OutcomeDescription"/>
              <w:spacing w:before="120" w:after="120"/>
              <w:rPr>
                <w:rFonts w:cs="Arial"/>
                <w:lang w:eastAsia="en-NZ"/>
              </w:rPr>
            </w:pPr>
          </w:p>
        </w:tc>
        <w:tc>
          <w:tcPr>
            <w:tcW w:w="0" w:type="auto"/>
          </w:tcPr>
          <w:p w14:paraId="4BD26DD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CC18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around informed consent and advance directives are in place. Admission agreements, informed consents, resuscitation plans, advance directives, copies of enduring power of attorneys and activation letters, and welfare guardianship documentation were evidenced in the resident files reviewed. These forms had been signed appropriately by the resident or the activated power of attorney (EPOA) or welfare guardians. Consent forms for Covid-19 and influenza vaccinations were on file where appropriate. Residents and family/whānau interviewed described their understanding of informed consent and their rights regarding choice. In the files reviewed there are advance care plans or shared goals of care in place to guide staff. </w:t>
            </w:r>
          </w:p>
          <w:p w14:paraId="4ADEB3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Best practice tikanga guidelines, welcoming the involvement of family/whānau in decision making process where the person receiving the services wishes to have them involved are in place. Discussion with residents and family/whānau confirmed they are involved in the </w:t>
            </w:r>
            <w:r w:rsidRPr="00BE00C7">
              <w:rPr>
                <w:rFonts w:cs="Arial"/>
                <w:lang w:eastAsia="en-NZ"/>
              </w:rPr>
              <w:lastRenderedPageBreak/>
              <w:t xml:space="preserve">decision-making processes and the planning of care with residents consent. </w:t>
            </w:r>
          </w:p>
          <w:p w14:paraId="5CA86E32" w14:textId="77777777" w:rsidR="00EB7645" w:rsidRPr="00BE00C7" w:rsidRDefault="00000000" w:rsidP="00BE00C7">
            <w:pPr>
              <w:pStyle w:val="OutcomeDescription"/>
              <w:spacing w:before="120" w:after="120"/>
              <w:rPr>
                <w:rFonts w:cs="Arial"/>
                <w:lang w:eastAsia="en-NZ"/>
              </w:rPr>
            </w:pPr>
          </w:p>
        </w:tc>
      </w:tr>
      <w:tr w:rsidR="00F02029" w14:paraId="3159D35C" w14:textId="77777777">
        <w:tc>
          <w:tcPr>
            <w:tcW w:w="0" w:type="auto"/>
          </w:tcPr>
          <w:p w14:paraId="25A9E35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18408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149EC88" w14:textId="77777777" w:rsidR="00EB7645" w:rsidRPr="00BE00C7" w:rsidRDefault="00000000" w:rsidP="00BE00C7">
            <w:pPr>
              <w:pStyle w:val="OutcomeDescription"/>
              <w:spacing w:before="120" w:after="120"/>
              <w:rPr>
                <w:rFonts w:cs="Arial"/>
                <w:lang w:eastAsia="en-NZ"/>
              </w:rPr>
            </w:pPr>
          </w:p>
        </w:tc>
        <w:tc>
          <w:tcPr>
            <w:tcW w:w="0" w:type="auto"/>
          </w:tcPr>
          <w:p w14:paraId="4C04044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2532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all residents and family/whānau on entry to the service. The complaints process is equitable for Māori and complaints related documentation is available in te reo Māori. The owner/managers maintain a complaints’ register containing all appropriate documentation, including formal acknowledgement, investigation, and resolution of previous complaints in accordance with guidelines set by the and Health and Disability Commissioner (HDC) and the organisation’s own policy and procedures. There have been no complaints made since the last audit in October 2022. Discussions with the owner/managers evidenced they have a good understanding of the complaints process and management, including management of any external complaints. Discussions with residents and family/whānau confirmed they are provided with information on complaints and complaints forms are available at the entrance to the facility. </w:t>
            </w:r>
          </w:p>
          <w:p w14:paraId="1B0FF58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have a variety of avenues they can choose from to lodge a complaint or express a concern (eg, verbally, in writing, through an advocate). Resident meetings are held and are another avenue to provide residents with the opportunity to voice their concerns. The owner/managers have an open-door policy and encourage residents and family/whānau to discuss any concerns. This was observed during the audit. The complaints process is linked to the quality and risk management system. combined staff, quality, health and safety and infection control meetings minutes cover discussions relating to any complaints lodged.</w:t>
            </w:r>
          </w:p>
          <w:p w14:paraId="4E4B1462" w14:textId="77777777" w:rsidR="00EB7645" w:rsidRPr="00BE00C7" w:rsidRDefault="00000000" w:rsidP="00BE00C7">
            <w:pPr>
              <w:pStyle w:val="OutcomeDescription"/>
              <w:spacing w:before="120" w:after="120"/>
              <w:rPr>
                <w:rFonts w:cs="Arial"/>
                <w:lang w:eastAsia="en-NZ"/>
              </w:rPr>
            </w:pPr>
          </w:p>
        </w:tc>
      </w:tr>
      <w:tr w:rsidR="00F02029" w14:paraId="7B96143D" w14:textId="77777777">
        <w:tc>
          <w:tcPr>
            <w:tcW w:w="0" w:type="auto"/>
          </w:tcPr>
          <w:p w14:paraId="5E0E4F8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660CF4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lastRenderedPageBreak/>
              <w:t>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A1E46D4" w14:textId="77777777" w:rsidR="00EB7645" w:rsidRPr="00BE00C7" w:rsidRDefault="00000000" w:rsidP="00BE00C7">
            <w:pPr>
              <w:pStyle w:val="OutcomeDescription"/>
              <w:spacing w:before="120" w:after="120"/>
              <w:rPr>
                <w:rFonts w:cs="Arial"/>
                <w:lang w:eastAsia="en-NZ"/>
              </w:rPr>
            </w:pPr>
          </w:p>
        </w:tc>
        <w:tc>
          <w:tcPr>
            <w:tcW w:w="0" w:type="auto"/>
          </w:tcPr>
          <w:p w14:paraId="168FF51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BAC83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Waikiwi Gardens is privately owned by Kyber Health Care Limited and provides rest home level care for up to 45 residents. On the day of the audit there were 35 residents in total. There were four residents on younger persons with a disability contracts (YPD), and one resident on a long-term support chronic health condition (LTS-CHC) contract. </w:t>
            </w:r>
            <w:r w:rsidRPr="00BE00C7">
              <w:rPr>
                <w:rFonts w:cs="Arial"/>
                <w:lang w:eastAsia="en-NZ"/>
              </w:rPr>
              <w:lastRenderedPageBreak/>
              <w:t xml:space="preserve">There are four double rooms with three rooms being shared by married couples or related residents and one room was vacant. </w:t>
            </w:r>
          </w:p>
          <w:p w14:paraId="37A0347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bed numbers have increased from 42 to 45 since the last audit, as confirmed in a letter from Manatū Hauora, Ministry of Health (April 2023). Two rooms have been refurbished as single rooms, and one room upstairs on the first floor is now going to be used for a rest home resident. All rooms were viewed and verified as suitable for residents use. </w:t>
            </w:r>
          </w:p>
          <w:p w14:paraId="180A439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managed by two owners (husband and wife). The owners/managers (both non-clinical) have owned the rest home since March 2017. Staff interviewed confirmed the owner/managers are on site between three to five days every fortnight. One of the owners is responsible for the operational/HR staff management and the other is responsible for the maintenance/property requirements. The owner/managers are supported by an assistant manager and administration manager. The assistant manager performs the manager duties when the owner/managers are not on site. The owner/managers confirmed their knowledge of the sector, regulatory, Ministry of Health and other mandatory reporting body requirements. The owner/managers (non-clinical) are also supported by an experienced RN who oversees the clinical operations. This includes (but is not limited to) the review of clinical risk. Outcomes for tāngata whaikaha are optimised through a regular clinical assessment and review process. </w:t>
            </w:r>
          </w:p>
          <w:p w14:paraId="5CD03A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has links with the chief executive officer (CEO) of Ngā Kete Mātauranga Pounamu who provides support and guidance to the management team as required. Collaboration with the owner/managers, assistant manager, administration manager and staff who identify as Māori reflect their input for the provision of equitable delivery of care and organisational operational policies. </w:t>
            </w:r>
          </w:p>
          <w:p w14:paraId="3B61D6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mission, philosophy, values, and goals are identified in the quality and risk management plan. There is a business plan documented for 2023-2025 which describes the company purpose, values, scope, direction, and goals. Organisational performance is regularly monitored against the direction and goals. The business plan documents key objectives/strategies that support outcomes to achieve equity addressing barriers for Māori. The business plan also reflects a </w:t>
            </w:r>
            <w:r w:rsidRPr="00BE00C7">
              <w:rPr>
                <w:rFonts w:cs="Arial"/>
                <w:lang w:eastAsia="en-NZ"/>
              </w:rPr>
              <w:lastRenderedPageBreak/>
              <w:t>management commitment to collaborate with whānau to participate in planning, monitoring, and evaluation of the service delivery. Cultural safety is embedded within the documented quality programme and staff training. The owner/managers and assistant manager have attended cultural training to ensure that they are able to demonstrate expertise in Te Tiriti o Waitangi, health equity and cultural safety.</w:t>
            </w:r>
          </w:p>
          <w:p w14:paraId="336B48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effective communication systems and working relationships to deliver coordinated services. There is a governance policy with clearly defined roles and responsibilities. The owner/managers and assistant manager have maintained a minimum of eight hours of professional development per year relating to the management of an aged care facility.</w:t>
            </w:r>
          </w:p>
          <w:p w14:paraId="35CFAFBF" w14:textId="77777777" w:rsidR="00EB7645" w:rsidRPr="00BE00C7" w:rsidRDefault="00000000" w:rsidP="00BE00C7">
            <w:pPr>
              <w:pStyle w:val="OutcomeDescription"/>
              <w:spacing w:before="120" w:after="120"/>
              <w:rPr>
                <w:rFonts w:cs="Arial"/>
                <w:lang w:eastAsia="en-NZ"/>
              </w:rPr>
            </w:pPr>
          </w:p>
        </w:tc>
      </w:tr>
      <w:tr w:rsidR="00F02029" w14:paraId="2E0C7615" w14:textId="77777777">
        <w:tc>
          <w:tcPr>
            <w:tcW w:w="0" w:type="auto"/>
          </w:tcPr>
          <w:p w14:paraId="479370E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E5F3AC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65F2E4D" w14:textId="77777777" w:rsidR="00EB7645" w:rsidRPr="00BE00C7" w:rsidRDefault="00000000" w:rsidP="00BE00C7">
            <w:pPr>
              <w:pStyle w:val="OutcomeDescription"/>
              <w:spacing w:before="120" w:after="120"/>
              <w:rPr>
                <w:rFonts w:cs="Arial"/>
                <w:lang w:eastAsia="en-NZ"/>
              </w:rPr>
            </w:pPr>
          </w:p>
        </w:tc>
        <w:tc>
          <w:tcPr>
            <w:tcW w:w="0" w:type="auto"/>
          </w:tcPr>
          <w:p w14:paraId="2C800E6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7B625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implementing a quality and risk management programme developed by an external contractor. The quality system includes performance monitoring, internal audits, resident satisfaction, staff retention and the collection, collation, and benchmarking of clinical indicator data. The analysis of data indicates a health equity approach to care of the residents. Results from internal audits, clinical indicator data, surveys and corrective actions identified and implemented are shared in the monthly general staff and combined management/quality improvement meetings. Quality data and trends are posted for the staff to read. </w:t>
            </w:r>
          </w:p>
          <w:p w14:paraId="31D881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and associated implementation systems provide a satisfactory level of assurance that the facility is meeting accepted good practice and adhering to relevant standards. A document control system is in place. Policies are developed and reviewed by the external contractor and the management team and have been updated to meet the Ngā Paerewa Health and Disability Services Standard 2021. New policies or changes to policy are communicated to staff, evidenced in meeting minutes. Resident and family surveys have been completed in November 2023. Overall, the satisfaction was of a positive level. There were corrective actions in place around the residents awareness of the complaints process and food/meal sizes and alternatives. </w:t>
            </w:r>
          </w:p>
          <w:p w14:paraId="59F89DD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 health and safety system is being implemented. One of the owner/managers and the assistant manager are the health and safety officers and has attended health and safety training. There are regular manual handling training sessions for staff. Hazard identification forms and an up-to-date hazard register are in place, last reviewed in October 2023. Hazards are classified by their risk and priority. Staff and external contractors are orientated to the health and safety programme. Health and safety is discussed at the combined staff, quality meetings. In the event of a staff accident or incident, a debrief process is implemented and actioned. Accident/incident reports are completed for adverse events as evidenced in the accident /incident forms reviewed. Incident and accident data is collated monthly and analysed. The service identifies risks and opportunities including potential inequities and develops strategies and plans to respond to them. Staff’s cultural competency is assessed to ensure a high-quality service is provided for Māori. Training in relation to Māori and Te Tiriti o Waitangi is included in the education plan. </w:t>
            </w:r>
          </w:p>
          <w:p w14:paraId="31CC31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owner/managers evidenced their awareness of the requirement to notify relevant authorities in relation to essential notifications. There have been four section 31 notifications completed to notify HealthCERT in relation to an organised power outage, a police investigation, an unexpected death. There have been two outbreaks which were notified appropriately. </w:t>
            </w:r>
          </w:p>
          <w:p w14:paraId="0190E0CB" w14:textId="77777777" w:rsidR="00EB7645" w:rsidRPr="00BE00C7" w:rsidRDefault="00000000" w:rsidP="00BE00C7">
            <w:pPr>
              <w:pStyle w:val="OutcomeDescription"/>
              <w:spacing w:before="120" w:after="120"/>
              <w:rPr>
                <w:rFonts w:cs="Arial"/>
                <w:lang w:eastAsia="en-NZ"/>
              </w:rPr>
            </w:pPr>
          </w:p>
        </w:tc>
      </w:tr>
      <w:tr w:rsidR="00F02029" w14:paraId="3F336EC9" w14:textId="77777777">
        <w:tc>
          <w:tcPr>
            <w:tcW w:w="0" w:type="auto"/>
          </w:tcPr>
          <w:p w14:paraId="2F1ACF2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28A1A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726431F" w14:textId="77777777" w:rsidR="00EB7645" w:rsidRPr="00BE00C7" w:rsidRDefault="00000000" w:rsidP="00BE00C7">
            <w:pPr>
              <w:pStyle w:val="OutcomeDescription"/>
              <w:spacing w:before="120" w:after="120"/>
              <w:rPr>
                <w:rFonts w:cs="Arial"/>
                <w:lang w:eastAsia="en-NZ"/>
              </w:rPr>
            </w:pPr>
          </w:p>
        </w:tc>
        <w:tc>
          <w:tcPr>
            <w:tcW w:w="0" w:type="auto"/>
          </w:tcPr>
          <w:p w14:paraId="11E9F66F"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79FCD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rationale policy that includes staff skill mix, staffing levels and includes a procedure for replacing and increasing staff on short notice (eg, when a resident’s acuity changes). The roster provides sufficient and appropriate cover for the effective delivery of care and support. The service communicates any changes to staffing levels/changes to residents formally through regular resident and family meetings and informally through daily activities. The owner/managers are on site between three to five days every fortnight. The assistant manager and administration manager work full time from Monday to Friday. </w:t>
            </w:r>
          </w:p>
          <w:p w14:paraId="2898A4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owner/managers, assistant manager and administration manager share the on-call duties for any non-clinical related issues. There are </w:t>
            </w:r>
            <w:r w:rsidRPr="00BE00C7">
              <w:rPr>
                <w:rFonts w:cs="Arial"/>
                <w:lang w:eastAsia="en-NZ"/>
              </w:rPr>
              <w:lastRenderedPageBreak/>
              <w:t>three RNs (one casual) and one enrolled nurse (EN) currently rostered. There is an RN and EN who work from Monday to Friday between 8.00am to 5.00pm. The RNs share the on-call duties for any clinical support required. Staffing is flexible to meet the acuity and needs of the residents, this was confirmed during interviews with the owner/managers and staff. Interviews with residents and family/whānau confirmed staffing overall was satisfactory.</w:t>
            </w:r>
          </w:p>
          <w:p w14:paraId="02FB88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for 2023; however, not all two-yearly mandatory training has been completed. The service provides face to face training at the monthly general staff meeting. A competency programme is in place. Core competencies have been completed (medication, restraint, infection control and manual handling), and a record of completion is maintained. The service invests in staff health equity expertise and sharing of high-quality Māori health information through its cultural training programmes and cultural competency assessments. The service supports and encourages care assistants to obtain a New Zealand Qualification Authority (NZQA) qualification. There are 16 care assistants in total including three casual staff, four have achieved level 4, four have achieved level 3, one has achieved level 2 NZQA, and two others have experience in aged care. </w:t>
            </w:r>
          </w:p>
          <w:p w14:paraId="06AE0BF4"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are encouraged to participate in learning opportunities that provide them with up-to-date information, which includes training in relation to Māori health outcomes and disparities and health equity. There is a minimum of one first aid trained staff available 24/7. The three RNs who have completed interRAI training. The EN will complete this in early 2024. Registered nurse training opportunities are provided through Te Whatu Ora – Southern. Staff wellbeing programmes include offering employees counselling services, maintaining an ‘open-door’ relationship with managers, and celebrating holidays as a group. Staff commented that they celebrate the cultural diversity of staff and residents through food and dress. Staff interviews confirmed that they feel supported by the managers. Staff turnover is reported as low.</w:t>
            </w:r>
          </w:p>
          <w:p w14:paraId="5E0D4C42" w14:textId="77777777" w:rsidR="00EB7645" w:rsidRPr="00BE00C7" w:rsidRDefault="00000000" w:rsidP="00BE00C7">
            <w:pPr>
              <w:pStyle w:val="OutcomeDescription"/>
              <w:spacing w:before="120" w:after="120"/>
              <w:rPr>
                <w:rFonts w:cs="Arial"/>
                <w:lang w:eastAsia="en-NZ"/>
              </w:rPr>
            </w:pPr>
          </w:p>
        </w:tc>
      </w:tr>
      <w:tr w:rsidR="00F02029" w14:paraId="203172B0" w14:textId="77777777">
        <w:tc>
          <w:tcPr>
            <w:tcW w:w="0" w:type="auto"/>
          </w:tcPr>
          <w:p w14:paraId="332DF86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59E4F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5500BB9" w14:textId="77777777" w:rsidR="00EB7645" w:rsidRPr="00BE00C7" w:rsidRDefault="00000000" w:rsidP="00BE00C7">
            <w:pPr>
              <w:pStyle w:val="OutcomeDescription"/>
              <w:spacing w:before="120" w:after="120"/>
              <w:rPr>
                <w:rFonts w:cs="Arial"/>
                <w:lang w:eastAsia="en-NZ"/>
              </w:rPr>
            </w:pPr>
          </w:p>
        </w:tc>
        <w:tc>
          <w:tcPr>
            <w:tcW w:w="0" w:type="auto"/>
          </w:tcPr>
          <w:p w14:paraId="0ADE8FA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739AC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held securely. Six staff files reviewed (one assistant manager, one RN, three care assistants and one cook) evidenced implementation of the recruitment process, employment contracts, police checking and completed orientation. There are job descriptions in place for all positions that include outcomes, accountability, responsibilities, authority, and functions to be achieved in each position. A register of practising certificates is maintained for health professionals (RN, general practitioner, nurse practitioner, pharmacy, and podiatrist). All staff undergo their initial appraisal following three months of employment. This is followed by annual performance appraisals. In the staff files reviewed, all staff who have been employed for over one year had an annual performance appraisal completed. </w:t>
            </w:r>
          </w:p>
          <w:p w14:paraId="1A8ED7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and are repeated annually. The service demonstrates that the orientation programme supports staff to provide a culturally safe environment for Māori. Information held about staff is kept secure, and confidential. An employee ethnicity database is maintained. Following any incident/accident, evidence of debriefing and follow-up action taken are documented. Wellbeing support is provided to staff.</w:t>
            </w:r>
          </w:p>
          <w:p w14:paraId="74F96F58" w14:textId="77777777" w:rsidR="00EB7645" w:rsidRPr="00BE00C7" w:rsidRDefault="00000000" w:rsidP="00BE00C7">
            <w:pPr>
              <w:pStyle w:val="OutcomeDescription"/>
              <w:spacing w:before="120" w:after="120"/>
              <w:rPr>
                <w:rFonts w:cs="Arial"/>
                <w:lang w:eastAsia="en-NZ"/>
              </w:rPr>
            </w:pPr>
          </w:p>
        </w:tc>
      </w:tr>
      <w:tr w:rsidR="00F02029" w14:paraId="6116A916" w14:textId="77777777">
        <w:tc>
          <w:tcPr>
            <w:tcW w:w="0" w:type="auto"/>
          </w:tcPr>
          <w:p w14:paraId="24099D2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1FDFE65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B94A8BD" w14:textId="77777777" w:rsidR="00EB7645" w:rsidRPr="00BE00C7" w:rsidRDefault="00000000" w:rsidP="00BE00C7">
            <w:pPr>
              <w:pStyle w:val="OutcomeDescription"/>
              <w:spacing w:before="120" w:after="120"/>
              <w:rPr>
                <w:rFonts w:cs="Arial"/>
                <w:lang w:eastAsia="en-NZ"/>
              </w:rPr>
            </w:pPr>
          </w:p>
        </w:tc>
        <w:tc>
          <w:tcPr>
            <w:tcW w:w="0" w:type="auto"/>
          </w:tcPr>
          <w:p w14:paraId="411A54A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A2E0C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in hard copy. Archived records are stored securely on site for a minimum of 10 years. Electronic information is backed up using cloud-based technology. All electronic information is individually password protected. The resident files are appropriate to the service type and demonstrated service integration. Records are uniquely identifiable, legible, and timely. Signatures include the name and designation of the service provider. Residents entering the service have all relevant initial information recorded within 24 hours of entry into the resident’s individual record. An initial care plan is also developed during this time. Personal resident information is kept </w:t>
            </w:r>
            <w:r w:rsidRPr="00BE00C7">
              <w:rPr>
                <w:rFonts w:cs="Arial"/>
                <w:lang w:eastAsia="en-NZ"/>
              </w:rPr>
              <w:lastRenderedPageBreak/>
              <w:t>confidential and cannot be viewed by other residents or members of the public. The service is not responsible for National Health Index registration.</w:t>
            </w:r>
          </w:p>
          <w:p w14:paraId="43A9B878" w14:textId="77777777" w:rsidR="00EB7645" w:rsidRPr="00BE00C7" w:rsidRDefault="00000000" w:rsidP="00BE00C7">
            <w:pPr>
              <w:pStyle w:val="OutcomeDescription"/>
              <w:spacing w:before="120" w:after="120"/>
              <w:rPr>
                <w:rFonts w:cs="Arial"/>
                <w:lang w:eastAsia="en-NZ"/>
              </w:rPr>
            </w:pPr>
          </w:p>
        </w:tc>
      </w:tr>
      <w:tr w:rsidR="00F02029" w14:paraId="572E6EF5" w14:textId="77777777">
        <w:tc>
          <w:tcPr>
            <w:tcW w:w="0" w:type="auto"/>
          </w:tcPr>
          <w:p w14:paraId="3D61947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38AAE5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5A502B02" w14:textId="77777777" w:rsidR="00EB7645" w:rsidRPr="00BE00C7" w:rsidRDefault="00000000" w:rsidP="00BE00C7">
            <w:pPr>
              <w:pStyle w:val="OutcomeDescription"/>
              <w:spacing w:before="120" w:after="120"/>
              <w:rPr>
                <w:rFonts w:cs="Arial"/>
                <w:lang w:eastAsia="en-NZ"/>
              </w:rPr>
            </w:pPr>
          </w:p>
        </w:tc>
        <w:tc>
          <w:tcPr>
            <w:tcW w:w="0" w:type="auto"/>
          </w:tcPr>
          <w:p w14:paraId="508EC3E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FEE03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an entry and decline to entry policy. Residents’ entry into the service is facilitated in a competent, equitable, timely and respectful manner. Admission information packs are provided for family/whānau and residents prior to admission or on entry to the service. The admission agreement aligns with all contractual requirements. Exclusions from the service are included in the admission agreement and in the information pack. Six admission agreements were reviewed and aligned with the service agreements.</w:t>
            </w:r>
          </w:p>
          <w:p w14:paraId="3FEB9F2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interviewed confirmed they received the information pack and sufficient information prior to, and on entry to the service. Policies and procedures are in place to support the admission or decline entry process. Admission criteria is based on the assessed need of the resident and the contracts under which the service operates. The facility manager, assistant manager and RNs are available to answer any questions regarding the admission process. The service communicates with potential residents and family/whānau during the admission process. Declining entry would only be if there were no beds available or the potential resident did not meet the admission criteria. Ethnicity information is collected at the time of inquiry from individual residents and analysed to identify entry and decline rates that are ethnicity focuses. This is recorded on the admission form, on the lifestyle profile and in an admission and decline register. There are established links with local Māori health practitioners and Māori health organisations, as confirmed by the RNs and EN to improve health outcomes for Māori residents.</w:t>
            </w:r>
          </w:p>
          <w:p w14:paraId="4D447AF9" w14:textId="77777777" w:rsidR="00EB7645" w:rsidRPr="00BE00C7" w:rsidRDefault="00000000" w:rsidP="00BE00C7">
            <w:pPr>
              <w:pStyle w:val="OutcomeDescription"/>
              <w:spacing w:before="120" w:after="120"/>
              <w:rPr>
                <w:rFonts w:cs="Arial"/>
                <w:lang w:eastAsia="en-NZ"/>
              </w:rPr>
            </w:pPr>
          </w:p>
        </w:tc>
      </w:tr>
      <w:tr w:rsidR="00F02029" w14:paraId="0B3422D8" w14:textId="77777777">
        <w:tc>
          <w:tcPr>
            <w:tcW w:w="0" w:type="auto"/>
          </w:tcPr>
          <w:p w14:paraId="2B63984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26D6A0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r>
            <w:r w:rsidRPr="00BE00C7">
              <w:rPr>
                <w:rFonts w:cs="Arial"/>
                <w:lang w:eastAsia="en-NZ"/>
              </w:rPr>
              <w:lastRenderedPageBreak/>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2C544FF" w14:textId="77777777" w:rsidR="00EB7645" w:rsidRPr="00BE00C7" w:rsidRDefault="00000000" w:rsidP="00BE00C7">
            <w:pPr>
              <w:pStyle w:val="OutcomeDescription"/>
              <w:spacing w:before="120" w:after="120"/>
              <w:rPr>
                <w:rFonts w:cs="Arial"/>
                <w:lang w:eastAsia="en-NZ"/>
              </w:rPr>
            </w:pPr>
          </w:p>
        </w:tc>
        <w:tc>
          <w:tcPr>
            <w:tcW w:w="0" w:type="auto"/>
          </w:tcPr>
          <w:p w14:paraId="34F49D1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73A52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were in place to guide staff around admission processes. The required documentation including interRAI, risk assessments, care planning, the inclusion of cultural interventions, and timeframes for completion and review of care plans were all in place. Registered nurses and the EN are responsible for completing the admission </w:t>
            </w:r>
            <w:r w:rsidRPr="00BE00C7">
              <w:rPr>
                <w:rFonts w:cs="Arial"/>
                <w:lang w:eastAsia="en-NZ"/>
              </w:rPr>
              <w:lastRenderedPageBreak/>
              <w:t>assessments, care planning and evaluation. The initial nursing assessments and initial care plans sampled were developed within 24 hours of admission in consultation with the residents and family/whānau, where appropriate with resident’s consent. Risk assessments are conducted on admission relating to falls, pressure injury, continence, and nutrition. A cultural assessment has been implemented.</w:t>
            </w:r>
          </w:p>
          <w:p w14:paraId="036950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 resident files were reviewed including one resident with a younger persons with a disability contract. InterRAI assessments were not always completed within 21 days of admission, and not all interRAI reassessments had been completed within six months. The long-term care plans were developed within three weeks of an admission. The RNs and EN complete clinical assessments, including interRAI, referral information, and observations providing the basis for care planning. The EN is due to complete interRAI training early in 2024. Residents’ and family/whānau representatives of choice or EPOAs were involved in the assessment and care planning processes. All residents’ files sampled required current interRAI assessments with and the relevant outcome scores supported care plan goals and interventions. Residents and family/whānau confirmed their involvement in the assessment process. The YPD resident had an interRAI assessment completed. </w:t>
            </w:r>
          </w:p>
          <w:p w14:paraId="7A3597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long-term care plan is holistic, and identifies residents’ strengths, goals and aspirations aligned with their values and beliefs. The care plans document strategies to maintain and promote the residents’ independence and activities of daily living; however, not all care plan interventions are reflective of residents current needs. </w:t>
            </w:r>
          </w:p>
          <w:p w14:paraId="74FB48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were assessed by the contracted general practitioner (GP) within five working days of admission. The GP reviews the residents at least three-monthly or earlier if required. The GP provides medical oversight when required. After hours and weekend on-call cover is provided by after-hours service. The GP who has provided services to Waikiwi Gardens for many years was complimentary of the service during interview. The facility manager, assistant manager and administration assistant provide call for non-clinical matters while the RNs provide after-hours calls and advice for clinical issues. Specialist referrals are initiated as needed. Allied health interventions were </w:t>
            </w:r>
            <w:r w:rsidRPr="00BE00C7">
              <w:rPr>
                <w:rFonts w:cs="Arial"/>
                <w:lang w:eastAsia="en-NZ"/>
              </w:rPr>
              <w:lastRenderedPageBreak/>
              <w:t xml:space="preserve">documented and integrated into care plans. The service has access to a physiotherapist when required. A podiatrist visits regularly. A dietitian, speech language therapist and specialist nurses are available as required. </w:t>
            </w:r>
          </w:p>
          <w:p w14:paraId="670DF93C"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are guided by the Māori health plan and cultural safety policy and confirmed their understanding of the processes to support residents and whānau to include residents pae ora outcomes in their care plans. Residents who identified as Māori confirmed satisfaction with the processes in place. Cultural information for residents who identified as Māori included the person’s iwi, information relating to the whānau and other important aspects for the resident. The care plans sampled evidenced partnership and participation of tāngata whaikaha and whānau in planning their care and making decisions over their support. Barriers that prevent tāngata whaikaha and whānau from independently accessing information or services were identified, and strategies to manage these were documented. Waikiwi Gardens’ staff confirmed they understood the process to support residents and whānau.</w:t>
            </w:r>
          </w:p>
          <w:p w14:paraId="1E1F66DD" w14:textId="77777777" w:rsidR="00EB7645" w:rsidRPr="00BE00C7" w:rsidRDefault="00000000" w:rsidP="00BE00C7">
            <w:pPr>
              <w:pStyle w:val="OutcomeDescription"/>
              <w:spacing w:before="120" w:after="120"/>
              <w:rPr>
                <w:rFonts w:cs="Arial"/>
                <w:lang w:eastAsia="en-NZ"/>
              </w:rPr>
            </w:pPr>
            <w:r w:rsidRPr="00BE00C7">
              <w:rPr>
                <w:rFonts w:cs="Arial"/>
                <w:lang w:eastAsia="en-NZ"/>
              </w:rPr>
              <w:t>Caregivers and the RNs interviewed described a verbal and written handover at the beginning of each duty that maintains a continuity of service delivery. This was sighted on the day of the audit. Residents’ care was evaluated on each shift and reported in the progress notes by the caregivers. Any changes noted were reported to the RN/EN, as confirmed in the records sampled. The long-term care plans were not always reviewed after the interRAI reassessments. Short-term care plans were completed for acute conditions, such as weight loss and challenging behaviours. Short-term care plans were reviewed weekly or earlier if clinically indicated. The evaluations that were completed included the residents’ degree of progress towards their agreed goals and aspirations. The progress notes and incident forms reviewed provided evidence that family/whānau were notified of changes to health, including infections, wounds, accident/incidents, GP visits and any changes to health status. Family/whānau notification is confirmed through interviews with family/whānau members. Where there was a significant change in a resident’s condition, an interRAI reassessment was completed and a referral made to the needs assessment service coordination (NASC) team for reassessment of level of care.</w:t>
            </w:r>
          </w:p>
          <w:p w14:paraId="35B9EDA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 wound register was in place. There were five current wounds, including surgical wounds, skin tears, and one stage one pressure injury. Documentation for wound assessments, management and evaluations were fully documented as per policy. Access to wound specialist nurses from Te Whatu Ora- Southern is available. The RN (interviewed) and visual checks confirmed there are adequate clinical supplies and equipment provided, including continence, wound care supplies and pressure injury prevention resources. There is access to a continence specialist as required. </w:t>
            </w:r>
          </w:p>
          <w:p w14:paraId="38DDD59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reflected the required health monitoring interventions for individual residents. Care assistants complete monitoring charts, including bowel chart; blood pressure; weight; food and fluid chart; blood sugar levels; and toileting regime. Monitoring charts were completed as scheduled and were completed as instructed in the care plans. There is a range of equipment and resources available. Incident reports reviewed evidenced timely follow up and investigation by the RNs; however, not all neurological observations have been completed according to policy. </w:t>
            </w:r>
          </w:p>
          <w:p w14:paraId="0FAA16AA" w14:textId="2A9D0642" w:rsidR="00EB7645" w:rsidRPr="00BE00C7" w:rsidRDefault="00000000" w:rsidP="00983FEF">
            <w:pPr>
              <w:pStyle w:val="OutcomeDescription"/>
              <w:spacing w:before="120" w:after="120"/>
              <w:rPr>
                <w:rFonts w:cs="Arial"/>
                <w:lang w:eastAsia="en-NZ"/>
              </w:rPr>
            </w:pPr>
            <w:r w:rsidRPr="00BE00C7">
              <w:rPr>
                <w:rFonts w:cs="Arial"/>
                <w:lang w:eastAsia="en-NZ"/>
              </w:rPr>
              <w:t xml:space="preserve">The residents and family/whānau confirmed their involvement in evaluation of progress and any resulting changes. Residents and family/whānau interviewed were complimentary of the care received and reported their needs and expectations were being met. </w:t>
            </w:r>
          </w:p>
        </w:tc>
      </w:tr>
      <w:tr w:rsidR="00F02029" w14:paraId="043179C6" w14:textId="77777777">
        <w:tc>
          <w:tcPr>
            <w:tcW w:w="0" w:type="auto"/>
          </w:tcPr>
          <w:p w14:paraId="6A297CF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4AB773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109DD10" w14:textId="77777777" w:rsidR="00EB7645" w:rsidRPr="00BE00C7" w:rsidRDefault="00000000" w:rsidP="00BE00C7">
            <w:pPr>
              <w:pStyle w:val="OutcomeDescription"/>
              <w:spacing w:before="120" w:after="120"/>
              <w:rPr>
                <w:rFonts w:cs="Arial"/>
                <w:lang w:eastAsia="en-NZ"/>
              </w:rPr>
            </w:pPr>
          </w:p>
        </w:tc>
        <w:tc>
          <w:tcPr>
            <w:tcW w:w="0" w:type="auto"/>
          </w:tcPr>
          <w:p w14:paraId="0272855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72C6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two activities coordinators who job share the role. One of the activities coordinators has been recently employed and plans to enrol in the diversional therapy course training. The activities programme is provided five days per week. Residents are provided with a weekly activities programme and copies are posted on noticeboards around the facility. Care assistants and the activities coordinators remind residents about the daily activities on the schedule. The activities coordinators maintain daily activities attendance records.</w:t>
            </w:r>
          </w:p>
          <w:p w14:paraId="1423EFD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provide information to assist the activity coordinator to plan for the residents’ activity needs, interests, abilities, and social requirements. There is an individualised activity plan, and these are reviewed at least six-monthly in line with interRAI and care plan reviews. The activities programme includes exercises, van trips, </w:t>
            </w:r>
            <w:r w:rsidRPr="00BE00C7">
              <w:rPr>
                <w:rFonts w:cs="Arial"/>
                <w:lang w:eastAsia="en-NZ"/>
              </w:rPr>
              <w:lastRenderedPageBreak/>
              <w:t>puzzles, walks, happy hour, boccia, and birthday celebrations. Monthly themes and international days are celebrated. Individual, group activities and regular events are offered.</w:t>
            </w:r>
          </w:p>
          <w:p w14:paraId="41B3AC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review of the activities programme occurs through satisfaction surveys, individual resident feedback, and resident meetings. The activities programme is developed with this information and provides a meaningful programme for the residents. Resident’s activity needs are evaluated as part of the formal six-monthly interRAI assessments and care plan review and when there is a significant change in the residents’ ability. This was evident in the records sampled. </w:t>
            </w:r>
          </w:p>
          <w:p w14:paraId="24FE84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programme reflected residents’ goals, ordinary patterns of life and included normal community activities. Residents are supported to access community events and activities where possible. Residents support the activities coordinators in the provision of activities. A wide range of cultural events are celebrated, and these include Matariki Day, Waitangi Day, Māori language week and other cultural celebration days relevant to residents and staff. </w:t>
            </w:r>
          </w:p>
          <w:p w14:paraId="531E982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were observed participating in a variety of activities on the days of the audit. Residents and family/whānau interviewed confirmed they find the programme satisfactory.</w:t>
            </w:r>
          </w:p>
          <w:p w14:paraId="57C03802" w14:textId="77777777" w:rsidR="00EB7645" w:rsidRPr="00BE00C7" w:rsidRDefault="00000000" w:rsidP="00BE00C7">
            <w:pPr>
              <w:pStyle w:val="OutcomeDescription"/>
              <w:spacing w:before="120" w:after="120"/>
              <w:rPr>
                <w:rFonts w:cs="Arial"/>
                <w:lang w:eastAsia="en-NZ"/>
              </w:rPr>
            </w:pPr>
          </w:p>
        </w:tc>
      </w:tr>
      <w:tr w:rsidR="00F02029" w14:paraId="401700EF" w14:textId="77777777">
        <w:tc>
          <w:tcPr>
            <w:tcW w:w="0" w:type="auto"/>
          </w:tcPr>
          <w:p w14:paraId="79195A9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5CB680B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074EF87" w14:textId="77777777" w:rsidR="00EB7645" w:rsidRPr="00BE00C7" w:rsidRDefault="00000000" w:rsidP="00BE00C7">
            <w:pPr>
              <w:pStyle w:val="OutcomeDescription"/>
              <w:spacing w:before="120" w:after="120"/>
              <w:rPr>
                <w:rFonts w:cs="Arial"/>
                <w:lang w:eastAsia="en-NZ"/>
              </w:rPr>
            </w:pPr>
          </w:p>
        </w:tc>
        <w:tc>
          <w:tcPr>
            <w:tcW w:w="0" w:type="auto"/>
          </w:tcPr>
          <w:p w14:paraId="01160256"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4644D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system is electronic. Twelve electronic medication charts were reviewed, and these evidenced the recording of allergies and three-monthly reviews by the GP. Interviews with family/whānau stated that consultation takes place during these reviews; this was evident in the medical notes reviewed. Medications are supplied to the facility by the contracted pharmacy. Regular medications and ‘as required’ medications are administered from these packs. </w:t>
            </w:r>
          </w:p>
          <w:p w14:paraId="56EF7A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medications charts sighted were current and had been reviewed three-monthly. Medications were all prescribed appropriately on the electronic system, and all had allergies documented. As required medications had prescribed indications for use with outcomes and effectiveness completed in the sample of medication charts reviewed. Over the counter medications are prescribed on the electronic </w:t>
            </w:r>
            <w:r w:rsidRPr="00BE00C7">
              <w:rPr>
                <w:rFonts w:cs="Arial"/>
                <w:lang w:eastAsia="en-NZ"/>
              </w:rPr>
              <w:lastRenderedPageBreak/>
              <w:t xml:space="preserve">medication system, as requested by the resident. Standing orders are not in use. A senior care assistant was observed administering medication following medication guidelines. There were four residents self-administering medications within the service. Assessments for self-administration were completed; however, these do not appear to have been reviewed three monthly as per the medication management policy. There are comprehensive policies in place should a resident wish to administer their medications. Staff interviewed were knowledgeable around these processes. </w:t>
            </w:r>
          </w:p>
          <w:p w14:paraId="3C43F6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Internal audits were completed around medication management. The medication room and medication refrigerators are checked daily to ensure they were within the required temperature range. </w:t>
            </w:r>
          </w:p>
          <w:p w14:paraId="164351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RNs and EN provides information, support and advice around medications and potential side effects with all family/ whānau when they are not able to attend the GP review, or where required or requested. The RNs and EN reported they would apply the same to any whānau within the service.</w:t>
            </w:r>
          </w:p>
          <w:p w14:paraId="2FA124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Medications are stored safely. Care assistants who have completed medication competencies and RNs are responsible for medication administration. The RNs, EN and medication competent care assistants administer medications and have been assessed for competency on an annual basis. Education around safe medication administration has been provided with the last training completed in 2023. </w:t>
            </w:r>
          </w:p>
          <w:p w14:paraId="540132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in the medication area. All medications are checked on delivery against the prescription and signed on the pack and electronic medication management system. Any discrepancies are fed back to the supplying pharmacy. Expired medications are returned to pharmacy in a safe and timely manner. </w:t>
            </w:r>
          </w:p>
          <w:p w14:paraId="4D091A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eyedrops and creams have been dated on opening. All over the counter vitamins or alternative therapies residents choose to use, are reviewed, and prescribed by the GP. All medication charts reviewed identified that the GP had reviewed them three-monthly and current photographic identification was present in all twelve medication files. All medication files had ‘as required’ medications that had prescribed </w:t>
            </w:r>
            <w:r w:rsidRPr="00BE00C7">
              <w:rPr>
                <w:rFonts w:cs="Arial"/>
                <w:lang w:eastAsia="en-NZ"/>
              </w:rPr>
              <w:lastRenderedPageBreak/>
              <w:t xml:space="preserve">indications for use. The effectiveness of ‘as required’ medication was documented in all the files reviewed on the electronic medication system. </w:t>
            </w:r>
          </w:p>
          <w:p w14:paraId="714124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files included documented evidence that residents and family/whānau are updated about medication changes, including the reason for changing medications and side effects. The RNs and EN described an understanding of working in partnership with Māori residents to ensure the appropriate support is in place if needed, advice is timely and easily accessed, and treatment is prioritised to achieve better health outcomes.</w:t>
            </w:r>
          </w:p>
          <w:p w14:paraId="6B30897A" w14:textId="77777777" w:rsidR="00EB7645" w:rsidRPr="00BE00C7" w:rsidRDefault="00000000" w:rsidP="00BE00C7">
            <w:pPr>
              <w:pStyle w:val="OutcomeDescription"/>
              <w:spacing w:before="120" w:after="120"/>
              <w:rPr>
                <w:rFonts w:cs="Arial"/>
                <w:lang w:eastAsia="en-NZ"/>
              </w:rPr>
            </w:pPr>
          </w:p>
        </w:tc>
      </w:tr>
      <w:tr w:rsidR="00F02029" w14:paraId="0C3CA5A1" w14:textId="77777777">
        <w:tc>
          <w:tcPr>
            <w:tcW w:w="0" w:type="auto"/>
          </w:tcPr>
          <w:p w14:paraId="4D8BB52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3B17B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AD4F70B" w14:textId="77777777" w:rsidR="00EB7645" w:rsidRPr="00BE00C7" w:rsidRDefault="00000000" w:rsidP="00BE00C7">
            <w:pPr>
              <w:pStyle w:val="OutcomeDescription"/>
              <w:spacing w:before="120" w:after="120"/>
              <w:rPr>
                <w:rFonts w:cs="Arial"/>
                <w:lang w:eastAsia="en-NZ"/>
              </w:rPr>
            </w:pPr>
          </w:p>
        </w:tc>
        <w:tc>
          <w:tcPr>
            <w:tcW w:w="0" w:type="auto"/>
          </w:tcPr>
          <w:p w14:paraId="67163D4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3AD12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meals and baking at Waikiwi Gardens are all prepared and cooked on site. The menu follows summer and winter patterns in a four-weekly cycle and was reviewed in November 2023 by a qualified dietitian. The spacious kitchen is situated adjacent to the dining room and meals are served to directly residents in the dining room. Both cooks work to cover seven days of the week. Both cooks have received cultural and food safety training. Tikanga guidelines are available to staff who understand the intent of tapu and noa. On the day of audit, meals were observed to be tasty and well presented.</w:t>
            </w:r>
          </w:p>
          <w:p w14:paraId="7A766349" w14:textId="77777777" w:rsidR="00EB7645" w:rsidRPr="00BE00C7" w:rsidRDefault="00000000" w:rsidP="00BE00C7">
            <w:pPr>
              <w:pStyle w:val="OutcomeDescription"/>
              <w:spacing w:before="120" w:after="120"/>
              <w:rPr>
                <w:rFonts w:cs="Arial"/>
                <w:lang w:eastAsia="en-NZ"/>
              </w:rPr>
            </w:pPr>
            <w:r w:rsidRPr="00BE00C7">
              <w:rPr>
                <w:rFonts w:cs="Arial"/>
                <w:lang w:eastAsia="en-NZ"/>
              </w:rPr>
              <w:t>Food procurement, production, preparation, storage, transportation, delivery, and disposal complies with current legislation and guidelines. There is an approved food safety plan and registration issued by the Invercargill City Council. The current food control plan will expire on 1 March 2024. Food temperatures were monitored appropriately and recorded as part of the plan. On the days of the audit, the kitchen was clean and well equipped with special equipment available. The cook was observed following appropriate infection prevention measures during food preparation and serving.</w:t>
            </w:r>
          </w:p>
          <w:p w14:paraId="2ACBE87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consultation with the residents and family/whānau. The nutritional assessments identify residents’ personal food preferences, allergies, intolerances, any special diets, cultural preferences, and modified texture requirements. A nutritional profile is completed and shared with the cooks and any requirements are accommodated in </w:t>
            </w:r>
            <w:r w:rsidRPr="00BE00C7">
              <w:rPr>
                <w:rFonts w:cs="Arial"/>
                <w:lang w:eastAsia="en-NZ"/>
              </w:rPr>
              <w:lastRenderedPageBreak/>
              <w:t xml:space="preserve">daily meal plans. Copies of individual dietary profiles were available in the kitchen folder. The cooks who were both available and interviewed were aware of the residents’ preferences. Cultural, religious and food allergies are accommodated. Alternative meals are offered for those residents with dislikes or religious preferences. Care assistants interviewed confirmed their understanding of tikanga guidelines in terms of everyday practice. </w:t>
            </w:r>
          </w:p>
          <w:p w14:paraId="6BA234A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Kitchen fridge and freezer temperatures are monitored and recorded daily on the temperature monitoring records. Food temperatures are checked at all meals. These are all within safe limits. The cooks and care assistants were observed wearing correct personal protective clothing in the kitchen and as they were serving meals. Staff were observed assisting residents with meals in the dining room and modified utensils, such as lip plates, are available for residents to maintain independence with meals. Care assistants interviewed are knowledgeable regarding a resident’s food portion size and normal food and fluid intake and confirm they report any changes in eating habits to the RN and record this in progress notes. </w:t>
            </w:r>
          </w:p>
          <w:p w14:paraId="48CB14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Meals are delivered to residents’ rooms for those who chose not to go to the dining room for meals. Meals going to rooms on trays had covers to keep the food warm. Residents who required assistance received this and there was sufficient time to eat their meal in an unhurried fashion. Satisfaction with meals was confirmed during resident and family/whānau interviews. </w:t>
            </w:r>
          </w:p>
          <w:p w14:paraId="31EDD622" w14:textId="77777777" w:rsidR="00EB7645" w:rsidRPr="00BE00C7" w:rsidRDefault="00000000" w:rsidP="00BE00C7">
            <w:pPr>
              <w:pStyle w:val="OutcomeDescription"/>
              <w:spacing w:before="120" w:after="120"/>
              <w:rPr>
                <w:rFonts w:cs="Arial"/>
                <w:lang w:eastAsia="en-NZ"/>
              </w:rPr>
            </w:pPr>
          </w:p>
        </w:tc>
      </w:tr>
      <w:tr w:rsidR="00F02029" w14:paraId="588F1879" w14:textId="77777777">
        <w:tc>
          <w:tcPr>
            <w:tcW w:w="0" w:type="auto"/>
          </w:tcPr>
          <w:p w14:paraId="0DAACB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C55BDC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t>
            </w:r>
            <w:r w:rsidRPr="00BE00C7">
              <w:rPr>
                <w:rFonts w:cs="Arial"/>
                <w:lang w:eastAsia="en-NZ"/>
              </w:rPr>
              <w:lastRenderedPageBreak/>
              <w:t>We work alongside each person and whānau to provide and coordinate a supported transition of care or support.</w:t>
            </w:r>
          </w:p>
          <w:p w14:paraId="305DC7F8" w14:textId="77777777" w:rsidR="00EB7645" w:rsidRPr="00BE00C7" w:rsidRDefault="00000000" w:rsidP="00BE00C7">
            <w:pPr>
              <w:pStyle w:val="OutcomeDescription"/>
              <w:spacing w:before="120" w:after="120"/>
              <w:rPr>
                <w:rFonts w:cs="Arial"/>
                <w:lang w:eastAsia="en-NZ"/>
              </w:rPr>
            </w:pPr>
          </w:p>
        </w:tc>
        <w:tc>
          <w:tcPr>
            <w:tcW w:w="0" w:type="auto"/>
          </w:tcPr>
          <w:p w14:paraId="18CD3EC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ED14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Planned discharges or transfers were coordinated in collaboration with residents and family/whānau to ensure continuity of care. There is a policy and procedure documented to ensure discharge or transfer of residents is undertaken in a timely and safe manner by the RNs and facility manager. The RNs and EN explained the transfer between services includes a comprehensive verbal handover and the completion of specific transfer documentation. The handover was evidenced on the day of the audit. </w:t>
            </w:r>
          </w:p>
          <w:p w14:paraId="6635A12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When residents are transferred to acute services, the “yellow envelope” Te Whatu Ora - Southern transfer documentation system is </w:t>
            </w:r>
            <w:r w:rsidRPr="00BE00C7">
              <w:rPr>
                <w:rFonts w:cs="Arial"/>
                <w:lang w:eastAsia="en-NZ"/>
              </w:rPr>
              <w:lastRenderedPageBreak/>
              <w:t>used. The RNs reported that an escort is provided for transfers as required. Transfer documentation in the sampled records showed the appropriate documentation and relevant clinical notes were provided to ensure the continuity of care.</w:t>
            </w:r>
          </w:p>
          <w:p w14:paraId="3273D27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(if appropriate) and families/whānau were involved for all discharges to and from the service, including being given options to access other health and disability services and social support or kaupapa Māori agencies, where indicated or requested. </w:t>
            </w:r>
          </w:p>
          <w:p w14:paraId="205E311E" w14:textId="77777777" w:rsidR="00EB7645" w:rsidRPr="00BE00C7" w:rsidRDefault="00000000" w:rsidP="00BE00C7">
            <w:pPr>
              <w:pStyle w:val="OutcomeDescription"/>
              <w:spacing w:before="120" w:after="120"/>
              <w:rPr>
                <w:rFonts w:cs="Arial"/>
                <w:lang w:eastAsia="en-NZ"/>
              </w:rPr>
            </w:pPr>
          </w:p>
        </w:tc>
      </w:tr>
      <w:tr w:rsidR="00F02029" w14:paraId="4FD50583" w14:textId="77777777">
        <w:tc>
          <w:tcPr>
            <w:tcW w:w="0" w:type="auto"/>
          </w:tcPr>
          <w:p w14:paraId="04AACC3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276980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5782C68" w14:textId="77777777" w:rsidR="00EB7645" w:rsidRPr="00BE00C7" w:rsidRDefault="00000000" w:rsidP="00BE00C7">
            <w:pPr>
              <w:pStyle w:val="OutcomeDescription"/>
              <w:spacing w:before="120" w:after="120"/>
              <w:rPr>
                <w:rFonts w:cs="Arial"/>
                <w:lang w:eastAsia="en-NZ"/>
              </w:rPr>
            </w:pPr>
          </w:p>
        </w:tc>
        <w:tc>
          <w:tcPr>
            <w:tcW w:w="0" w:type="auto"/>
          </w:tcPr>
          <w:p w14:paraId="3E4C40B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5A6E8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holds a current warrant of fitness which expires 23 June 2024. The maintenance person works 35-40 hours per week and completes the maintenance programme. There is a maintenance request book for repair and maintenance requests located at the trade entrance. The book is checked daily and signed off when repairs have been completed. The annual preventative maintenance plan is documented and implemented. The maintenance person selects a random group of rooms to measure the hot water temperatures; these are consistently documented at 45 degrees Celsius. Essential contractors/tradespeople are available 24/7 as required. Testing and tagging of electrical equipment was last completed in August 2023. The ‘Welcome to Waikiwi Gardens’ documentation requires new residents to provide evidence of electrical checks for equipment they bring with them. The maintenance role includes maintenance of the gardens and grounds. </w:t>
            </w:r>
          </w:p>
          <w:p w14:paraId="3E4F6C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corridors are suitable for safe mobility with the use of mobility aids. Residents were observed moving freely around the areas with mobility aids where required. The external courtyards and gardens have seating and shade. There is safe access to all communal areas. There is sufficient space in all areas to allow care to be provided and for the safe use of mobility equipment. There is adequate space to provide care to residents. Residents are encouraged to personalise bedrooms as viewed on the days of audit. Care assistants interviewed stated there is adequate equipment to safely deliver care for rest home level of care residents. </w:t>
            </w:r>
          </w:p>
          <w:p w14:paraId="07FD098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 further three single rooms have been verified as being suitable to provide care for residents. Two rooms are on the ground level in the facility. The third room verified is on the first floor. All rooms provide enough space for residents at rest home level care. </w:t>
            </w:r>
          </w:p>
          <w:p w14:paraId="1163161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four double/ shared rooms with ensuite facilities. Privacy curtains and call bells are in place. The remainder of the rooms have a hand basin, with communal bathrooms/showers located close to the resident rooms within the facility with privacy signage. Fixtures, fittings, and flooring are appropriate. Toilet/shower facilities are easy to clean. There is sufficient space in toilet and shower areas to accommodate shower chairs and commodes. There are communal toilets situated in the vicinity of the lounge and dining room. The dining room is adjacent to the lounge. The lounge is open plan with doors to a conservatory which opens to the garden, with outdoor seating and shade. The conservatory off the main lounge has a selection of games and reading books. Where there are steps from doors to the outdoors and gardens, there are small purpose made ramps. Communal areas are easily accessible for residents with mobility aids.</w:t>
            </w:r>
          </w:p>
          <w:p w14:paraId="215299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bedrooms and communal areas have sufficient natural light and ventilation. There is electric wall heating (thermostat controlled and individually adjusted) in resident rooms, corridors, bathrooms, and all communal areas. Currently there are no plans to build or extend; however, should this occur in the future, the owner and facility manager advised that the service would liaise with local Māori providers to ensure aspirations and Māori identity are included. </w:t>
            </w:r>
          </w:p>
          <w:p w14:paraId="78E3A244" w14:textId="77777777" w:rsidR="00EB7645" w:rsidRPr="00BE00C7" w:rsidRDefault="00000000" w:rsidP="00BE00C7">
            <w:pPr>
              <w:pStyle w:val="OutcomeDescription"/>
              <w:spacing w:before="120" w:after="120"/>
              <w:rPr>
                <w:rFonts w:cs="Arial"/>
                <w:lang w:eastAsia="en-NZ"/>
              </w:rPr>
            </w:pPr>
          </w:p>
        </w:tc>
      </w:tr>
      <w:tr w:rsidR="00F02029" w14:paraId="3E72432E" w14:textId="77777777">
        <w:tc>
          <w:tcPr>
            <w:tcW w:w="0" w:type="auto"/>
          </w:tcPr>
          <w:p w14:paraId="3A41415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74747CC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3E38D6D" w14:textId="77777777" w:rsidR="00EB7645" w:rsidRPr="00BE00C7" w:rsidRDefault="00000000" w:rsidP="00BE00C7">
            <w:pPr>
              <w:pStyle w:val="OutcomeDescription"/>
              <w:spacing w:before="120" w:after="120"/>
              <w:rPr>
                <w:rFonts w:cs="Arial"/>
                <w:lang w:eastAsia="en-NZ"/>
              </w:rPr>
            </w:pPr>
          </w:p>
        </w:tc>
        <w:tc>
          <w:tcPr>
            <w:tcW w:w="0" w:type="auto"/>
          </w:tcPr>
          <w:p w14:paraId="3BB54BD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2A53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Emergency management plan outlines the specific emergency response and evacuation requirements and helps guide staff to complete a safe and timely evacuation of the facility in the case of an emergency. The fire evacuation plan has been approved by the New Zealand Fire Service, dated 11 February 2021. A fire evacuation drill is repeated six-monthly in accordance with the facility’s building warrant of fitness with the most recent drill taking place on 17 July 2023. The next fire evacuation drill has been booked for 10 January 2024. There are emergency management plans to ensure health, civil </w:t>
            </w:r>
            <w:r w:rsidRPr="00BE00C7">
              <w:rPr>
                <w:rFonts w:cs="Arial"/>
                <w:lang w:eastAsia="en-NZ"/>
              </w:rPr>
              <w:lastRenderedPageBreak/>
              <w:t xml:space="preserve">defence and other emergencies are included. Civil defence and pandemic/outbreak supplies are stored in an identified location and are checked six monthly, last completed in October 2023. </w:t>
            </w:r>
          </w:p>
          <w:p w14:paraId="33DC3A94"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event of a power outage, alternate gas cooking (two BBQs and gas hobs in the kitchen) is available. There is adequate water supply (5,000 litre water tank) and dry food supplies in the event of a civil defence emergency, blankets and limited emergency lighting and torches available for emergency situations. Emergency management is included in staff orientation and external contractor orientation. There is always a staff member on duty with a current first aid certificate. There are call bells in the residents’ rooms and ensuites, communal toilets and lounge/dining room areas. Residents were observed to have their call bells in proximity to their current position. Residents and family/whānau interviewed confirmed that call bells are answered in a timely manner. The building is secured after hours. There are security cameras at the main entrance, hallways and throughout the facility. Staff complete regular security checks at night.</w:t>
            </w:r>
          </w:p>
          <w:p w14:paraId="22C01855" w14:textId="77777777" w:rsidR="00EB7645" w:rsidRPr="00BE00C7" w:rsidRDefault="00000000" w:rsidP="00BE00C7">
            <w:pPr>
              <w:pStyle w:val="OutcomeDescription"/>
              <w:spacing w:before="120" w:after="120"/>
              <w:rPr>
                <w:rFonts w:cs="Arial"/>
                <w:lang w:eastAsia="en-NZ"/>
              </w:rPr>
            </w:pPr>
          </w:p>
        </w:tc>
      </w:tr>
      <w:tr w:rsidR="00F02029" w14:paraId="246F4948" w14:textId="77777777">
        <w:tc>
          <w:tcPr>
            <w:tcW w:w="0" w:type="auto"/>
          </w:tcPr>
          <w:p w14:paraId="40880E6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3E9E802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61A845F7" w14:textId="77777777" w:rsidR="00EB7645" w:rsidRPr="00BE00C7" w:rsidRDefault="00000000" w:rsidP="00BE00C7">
            <w:pPr>
              <w:pStyle w:val="OutcomeDescription"/>
              <w:spacing w:before="120" w:after="120"/>
              <w:rPr>
                <w:rFonts w:cs="Arial"/>
                <w:lang w:eastAsia="en-NZ"/>
              </w:rPr>
            </w:pPr>
          </w:p>
        </w:tc>
        <w:tc>
          <w:tcPr>
            <w:tcW w:w="0" w:type="auto"/>
          </w:tcPr>
          <w:p w14:paraId="0F910C1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A89B5C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recently implemented a new suite of  infection prevention and control policies provided by an external contractor. The policies reflect the requirements of the standards and are based on current accepted good practice and include anti-microbial stewardship requirements. Cultural advice is accessed where appropriate. Staff were familiar with policies and were observed to follow these correctly. Residents and their family/whānau are educated about infection prevention in a manner that meets their needs.</w:t>
            </w:r>
          </w:p>
          <w:p w14:paraId="200EA06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and prevention programme is overseen by a RN. The infection control and antimicrobial stewardship (AMS) programme, its content and detail, is appropriate for the size, complexity and degree of risk associated with the service. Infection control is linked into the quality risk and incident reporting systems. Infection control audits are conducted. Infection rates are presented and discussed at integrated quality, infection control and staff meetings and reported to the owners. This information is also available and shared with staff on the noticeboard in the staff room. </w:t>
            </w:r>
            <w:r w:rsidRPr="00BE00C7">
              <w:rPr>
                <w:rFonts w:cs="Arial"/>
                <w:lang w:eastAsia="en-NZ"/>
              </w:rPr>
              <w:lastRenderedPageBreak/>
              <w:t>Infection control is part of the strategic and quality plans. The service has access to an infection control specialist from Te Whatu Ora -Southern. Additional support and information is available through the microbiologist and public health team, as required.</w:t>
            </w:r>
          </w:p>
          <w:p w14:paraId="6C2D6457" w14:textId="77777777" w:rsidR="00EB7645" w:rsidRPr="00BE00C7" w:rsidRDefault="00000000" w:rsidP="00BE00C7">
            <w:pPr>
              <w:pStyle w:val="OutcomeDescription"/>
              <w:spacing w:before="120" w:after="120"/>
              <w:rPr>
                <w:rFonts w:cs="Arial"/>
                <w:lang w:eastAsia="en-NZ"/>
              </w:rPr>
            </w:pPr>
          </w:p>
        </w:tc>
      </w:tr>
      <w:tr w:rsidR="00F02029" w14:paraId="011E6FDC" w14:textId="77777777">
        <w:tc>
          <w:tcPr>
            <w:tcW w:w="0" w:type="auto"/>
          </w:tcPr>
          <w:p w14:paraId="5C5B036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A9D913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9D95AF9" w14:textId="77777777" w:rsidR="00EB7645" w:rsidRPr="00BE00C7" w:rsidRDefault="00000000" w:rsidP="00BE00C7">
            <w:pPr>
              <w:pStyle w:val="OutcomeDescription"/>
              <w:spacing w:before="120" w:after="120"/>
              <w:rPr>
                <w:rFonts w:cs="Arial"/>
                <w:lang w:eastAsia="en-NZ"/>
              </w:rPr>
            </w:pPr>
          </w:p>
        </w:tc>
        <w:tc>
          <w:tcPr>
            <w:tcW w:w="0" w:type="auto"/>
          </w:tcPr>
          <w:p w14:paraId="2283FAC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390CC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 is the infection prevention and control coordinator and is responsible for overseeing and implementing the infection control programme, with reporting lines to the facility manager. The infection prevention coordinator role, responsibilities and reporting requirements are defined in their job description. The RN has access to residents’ records and diagnostic results to ensure timely treatment and resolution of any infections. The new infection control programme has been implemented as part of the new suite of policies in June 2023. The infection prevention and control programme has been approved by the owners and will be reviewed by the management team annually. </w:t>
            </w:r>
          </w:p>
          <w:p w14:paraId="73ACB9C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 has appropriate skills, knowledge, and qualifications for the role. The RN has attended education through Te Whatu Ora- Southern on infection prevention and Covid -19 pandemic, as verified in training records. Staff have received education around infection control at orientation and through ongoing annual education sessions. Education is provided by the RN and is focussed on knowing and understanding the new policies and procedures. Content of the training is documented and evaluated to ensure it is relevant, current, and understood. Additional staff education has been provided in response to Covid-19 pandemic. Education with residents was on an individual basis and has included reminders about handwashing, advice about remaining in their room if they are unwell and increasing fluids during hot weather. This was confirmed in the short-term care plans sampled.</w:t>
            </w:r>
          </w:p>
          <w:p w14:paraId="44603F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 has input into other related clinical policies that impact on health care associated infection (HAI) risk and liaises with the facility manager on personal protective equipment (PPE) requirements and procurement of the required equipment, devices, and consumables through approved suppliers and Te Whatu Ora- Southern.</w:t>
            </w:r>
          </w:p>
          <w:p w14:paraId="3B6CC46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Medical reusable devices and shared equipment is appropriately decontaminated and reprocessed appropriately based on recommendation from the manufacturer and best practice guidelines. Single-use medical devices are not reused. There is a decontamination policy to guide staff. Hand hygiene, staff practice, and cleaning audits are completed, and where required, corrective actions were implemented.</w:t>
            </w:r>
          </w:p>
          <w:p w14:paraId="56B7A4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delivery, cleaning, laundry, and kitchen staff were observed following appropriate infection control practices, such as appropriate use of hand-sanitisers, good hand-washing technique, and use of disposable aprons and gloves. Hand washing and sanitiser dispensers were readily available around the facility. The Māori health plan in use has guidance to practices regarded as tapu by Māori and are applicable to the infection control programme. For example, kitchen sinks/tubs are not to be used for personal items (clothes) and towels used for the perineum cannot be used for the face. The RN reported that residents who identify as Māori will be consulted on infection control requirements as needed. During interviews, staff understood these requirements. There are educational resources in te reo Māori and other languages to meet the needs of the Waikiwi Gardens requirements. At present there are no plans to make any significant changes or new buildings; however, if this were to change the infection prevention and control coordinator would be involved in early consultation regarding this. </w:t>
            </w:r>
          </w:p>
          <w:p w14:paraId="5E3DBA3C" w14:textId="77777777" w:rsidR="00EB7645" w:rsidRPr="00BE00C7" w:rsidRDefault="00000000" w:rsidP="00BE00C7">
            <w:pPr>
              <w:pStyle w:val="OutcomeDescription"/>
              <w:spacing w:before="120" w:after="120"/>
              <w:rPr>
                <w:rFonts w:cs="Arial"/>
                <w:lang w:eastAsia="en-NZ"/>
              </w:rPr>
            </w:pPr>
          </w:p>
        </w:tc>
      </w:tr>
      <w:tr w:rsidR="00F02029" w14:paraId="5500D0D7" w14:textId="77777777">
        <w:tc>
          <w:tcPr>
            <w:tcW w:w="0" w:type="auto"/>
          </w:tcPr>
          <w:p w14:paraId="07B5F92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B2429C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563B01D" w14:textId="77777777" w:rsidR="00EB7645" w:rsidRPr="00BE00C7" w:rsidRDefault="00000000" w:rsidP="00BE00C7">
            <w:pPr>
              <w:pStyle w:val="OutcomeDescription"/>
              <w:spacing w:before="120" w:after="120"/>
              <w:rPr>
                <w:rFonts w:cs="Arial"/>
                <w:lang w:eastAsia="en-NZ"/>
              </w:rPr>
            </w:pPr>
          </w:p>
        </w:tc>
        <w:tc>
          <w:tcPr>
            <w:tcW w:w="0" w:type="auto"/>
          </w:tcPr>
          <w:p w14:paraId="3C6831A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45F4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Waikiwi Gardens has a policy and procedure documented for antimicrobial usage and monitors compliance of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integrated quality, infection control and staff meetings, and the facility manager. Results are discussed at the monthly governance meetings. Prophylactic use of antibiotics is not considered to be appropriate and is discouraged. Reports are collated from the incident reports, clinical and medication records. The infection control </w:t>
            </w:r>
            <w:r w:rsidRPr="00BE00C7">
              <w:rPr>
                <w:rFonts w:cs="Arial"/>
                <w:lang w:eastAsia="en-NZ"/>
              </w:rPr>
              <w:lastRenderedPageBreak/>
              <w:t xml:space="preserve">prevention coordinator works in partnership with the GP and the other RNs and EN to ensure best practice strategies are implemented. </w:t>
            </w:r>
          </w:p>
          <w:p w14:paraId="0AB4CBF3" w14:textId="77777777" w:rsidR="00EB7645" w:rsidRPr="00BE00C7" w:rsidRDefault="00000000" w:rsidP="00BE00C7">
            <w:pPr>
              <w:pStyle w:val="OutcomeDescription"/>
              <w:spacing w:before="120" w:after="120"/>
              <w:rPr>
                <w:rFonts w:cs="Arial"/>
                <w:lang w:eastAsia="en-NZ"/>
              </w:rPr>
            </w:pPr>
          </w:p>
        </w:tc>
      </w:tr>
      <w:tr w:rsidR="00F02029" w14:paraId="1A3EB7F3" w14:textId="77777777">
        <w:tc>
          <w:tcPr>
            <w:tcW w:w="0" w:type="auto"/>
          </w:tcPr>
          <w:p w14:paraId="1B589E5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1BF98C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E558322" w14:textId="77777777" w:rsidR="00EB7645" w:rsidRPr="00BE00C7" w:rsidRDefault="00000000" w:rsidP="00BE00C7">
            <w:pPr>
              <w:pStyle w:val="OutcomeDescription"/>
              <w:spacing w:before="120" w:after="120"/>
              <w:rPr>
                <w:rFonts w:cs="Arial"/>
                <w:lang w:eastAsia="en-NZ"/>
              </w:rPr>
            </w:pPr>
          </w:p>
        </w:tc>
        <w:tc>
          <w:tcPr>
            <w:tcW w:w="0" w:type="auto"/>
          </w:tcPr>
          <w:p w14:paraId="51946B9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F0818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prevention and control programme and is described in the organisation’s control policy manual. Monthly infection data is collected for all infections based on signs, symptoms, and definition of infection. Infections are entered into an infection register and surveillance of all infections (including organisms) is collated onto a monthly infection summary. This data is monitored and analysed for trends, monthly and annually. Infection control surveillance is discussed at the integrated quality/staff meetings. Meeting minutes and graphs are displayed for staff. Action plans are required for any infection rates of concern. The service captures ethnicity data and incorporates this into surveillance methods and data captured around infections. </w:t>
            </w:r>
          </w:p>
          <w:p w14:paraId="36A70E8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has been one Covid – 19 and a norovirus outbreak since the previous audit. The pandemic plan was followed. There were clear communication pathways with responsibilities and included daily outbreak meetings and communication with residents, family/whānau, and staff. Staff wore personal protective equipment, cohorting of residents occurred to minimise risks, and family/whānau were kept informed by phone or email. Visiting was restricted. Residents were advised of any infections identified, as were family/whānau where required. This was confirmed in short-term care plans sampled and verified in interviews with residents and family/whānau. </w:t>
            </w:r>
          </w:p>
          <w:p w14:paraId="41E57177" w14:textId="77777777" w:rsidR="00EB7645" w:rsidRPr="00BE00C7" w:rsidRDefault="00000000" w:rsidP="00BE00C7">
            <w:pPr>
              <w:pStyle w:val="OutcomeDescription"/>
              <w:spacing w:before="120" w:after="120"/>
              <w:rPr>
                <w:rFonts w:cs="Arial"/>
                <w:lang w:eastAsia="en-NZ"/>
              </w:rPr>
            </w:pPr>
          </w:p>
        </w:tc>
      </w:tr>
      <w:tr w:rsidR="00F02029" w14:paraId="55D95537" w14:textId="77777777">
        <w:tc>
          <w:tcPr>
            <w:tcW w:w="0" w:type="auto"/>
          </w:tcPr>
          <w:p w14:paraId="7323B75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3C3CC10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r>
            <w:r w:rsidRPr="00BE00C7">
              <w:rPr>
                <w:rFonts w:cs="Arial"/>
                <w:lang w:eastAsia="en-NZ"/>
              </w:rPr>
              <w:lastRenderedPageBreak/>
              <w:t>As service providers: We deliver services in a clean, hygienic environment that facilitates the prevention of infection and transmission of antimicrobialresistant organisms.</w:t>
            </w:r>
          </w:p>
          <w:p w14:paraId="01C5BCF4" w14:textId="77777777" w:rsidR="00EB7645" w:rsidRPr="00BE00C7" w:rsidRDefault="00000000" w:rsidP="00BE00C7">
            <w:pPr>
              <w:pStyle w:val="OutcomeDescription"/>
              <w:spacing w:before="120" w:after="120"/>
              <w:rPr>
                <w:rFonts w:cs="Arial"/>
                <w:lang w:eastAsia="en-NZ"/>
              </w:rPr>
            </w:pPr>
          </w:p>
        </w:tc>
        <w:tc>
          <w:tcPr>
            <w:tcW w:w="0" w:type="auto"/>
          </w:tcPr>
          <w:p w14:paraId="19EE91D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5DBD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documented processes for the management of waste and hazardous substances in place. Domestic waste is removed as per local authority requirements. All chemicals were observed to be stored securely and safely. Material data safety sheets were displayed in the laundry. Cleaning products were in labelled bottles. Cleaners ensure that trolleys are safely stored when not in use. There is enough PPE available which includes masks, gloves, and aprons. Staff </w:t>
            </w:r>
            <w:r w:rsidRPr="00BE00C7">
              <w:rPr>
                <w:rFonts w:cs="Arial"/>
                <w:lang w:eastAsia="en-NZ"/>
              </w:rPr>
              <w:lastRenderedPageBreak/>
              <w:t>demonstrated knowledge and understanding about donning and doffing of PPE.</w:t>
            </w:r>
          </w:p>
          <w:p w14:paraId="573F74EA" w14:textId="77777777" w:rsidR="00EB7645" w:rsidRPr="00BE00C7" w:rsidRDefault="00000000" w:rsidP="00BE00C7">
            <w:pPr>
              <w:pStyle w:val="OutcomeDescription"/>
              <w:spacing w:before="120" w:after="120"/>
              <w:rPr>
                <w:rFonts w:cs="Arial"/>
                <w:lang w:eastAsia="en-NZ"/>
              </w:rPr>
            </w:pPr>
            <w:r w:rsidRPr="00BE00C7">
              <w:rPr>
                <w:rFonts w:cs="Arial"/>
                <w:lang w:eastAsia="en-NZ"/>
              </w:rPr>
              <w:t>A cleaner/laundry worker is on site seven days a week. Cleaning guidelines are provided. There is suitable, safe storage for cleaning equipment and supplies. Cleaning schedules are maintained for daily and periodic cleaning. The facility was observed to be clean throughout. The cleaners have attended training appropriate to their roles. There are regular internal environmental audits for cleaning and laundry completed by the owner/manager. These did not reveal any significant issues.</w:t>
            </w:r>
          </w:p>
          <w:p w14:paraId="38752939" w14:textId="77777777" w:rsidR="00EB7645" w:rsidRPr="00BE00C7" w:rsidRDefault="00000000" w:rsidP="00BE00C7">
            <w:pPr>
              <w:pStyle w:val="OutcomeDescription"/>
              <w:spacing w:before="120" w:after="120"/>
              <w:rPr>
                <w:rFonts w:cs="Arial"/>
                <w:lang w:eastAsia="en-NZ"/>
              </w:rPr>
            </w:pPr>
            <w:r w:rsidRPr="00BE00C7">
              <w:rPr>
                <w:rFonts w:cs="Arial"/>
                <w:lang w:eastAsia="en-NZ"/>
              </w:rPr>
              <w:t>All laundry, linen and personals are done on site. The laundry is operational seven days a week. Linen is distributed around the building in covered trollies. There are areas for storage of clean and dirty laundry and a dirty to clean flow is evident. The linen cupboards were well stocked. Cleaning and laundry services are monitored through the internal auditing system and overseen by the infection prevention and control coordinator. The washing machines and dryers are checked and serviced regularly. Laundry staff have received training and documented guidelines are available. The effectiveness of laundry processes is monitored by the external chemical supplier and the internal audit programme. The laundry staff and cleaning staff demonstrated awareness of the infection prevention and control protocols.</w:t>
            </w:r>
          </w:p>
          <w:p w14:paraId="01BB3EFC"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surveys and residents’ interviews confirmed satisfaction with cleaning and laundry processes.</w:t>
            </w:r>
          </w:p>
          <w:p w14:paraId="076C03C5" w14:textId="77777777" w:rsidR="00EB7645" w:rsidRPr="00BE00C7" w:rsidRDefault="00000000" w:rsidP="00BE00C7">
            <w:pPr>
              <w:pStyle w:val="OutcomeDescription"/>
              <w:spacing w:before="120" w:after="120"/>
              <w:rPr>
                <w:rFonts w:cs="Arial"/>
                <w:lang w:eastAsia="en-NZ"/>
              </w:rPr>
            </w:pPr>
          </w:p>
        </w:tc>
      </w:tr>
      <w:tr w:rsidR="00F02029" w14:paraId="79EBC8E4" w14:textId="77777777">
        <w:tc>
          <w:tcPr>
            <w:tcW w:w="0" w:type="auto"/>
          </w:tcPr>
          <w:p w14:paraId="0DA6F5B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592E2B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B3E1D0D" w14:textId="77777777" w:rsidR="00EB7645" w:rsidRPr="00BE00C7" w:rsidRDefault="00000000" w:rsidP="00BE00C7">
            <w:pPr>
              <w:pStyle w:val="OutcomeDescription"/>
              <w:spacing w:before="120" w:after="120"/>
              <w:rPr>
                <w:rFonts w:cs="Arial"/>
                <w:lang w:eastAsia="en-NZ"/>
              </w:rPr>
            </w:pPr>
          </w:p>
        </w:tc>
        <w:tc>
          <w:tcPr>
            <w:tcW w:w="0" w:type="auto"/>
          </w:tcPr>
          <w:p w14:paraId="78ED5DA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2EB9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minimisation programme is led by the restraint coordinator (RN). The owner/managers are committed to providing care without the use of restraint and remains restraint free. The use of restraint (if any) would be reported in the monthly general staff and combined management/quality improvement meetings. Policies have been updated to reflect the Ngā Paerewa Health and Disability Services Standard 2021. </w:t>
            </w:r>
          </w:p>
          <w:p w14:paraId="2C7CB7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policy confirms that restraint consideration and application must be done in partnership with family/whānau, and the </w:t>
            </w:r>
            <w:r w:rsidRPr="00BE00C7">
              <w:rPr>
                <w:rFonts w:cs="Arial"/>
                <w:lang w:eastAsia="en-NZ"/>
              </w:rPr>
              <w:lastRenderedPageBreak/>
              <w:t>choice of device must be the least restrictive possible. At all times when restraint is considered, the facility will work in partnership with Māori, to promote and ensure services are mana enhancing. Restraint minimisation is included as part of the training plan and orientation programme.</w:t>
            </w:r>
          </w:p>
          <w:p w14:paraId="478FFD0D" w14:textId="77777777" w:rsidR="00EB7645" w:rsidRPr="00BE00C7" w:rsidRDefault="00000000" w:rsidP="00BE00C7">
            <w:pPr>
              <w:pStyle w:val="OutcomeDescription"/>
              <w:spacing w:before="120" w:after="120"/>
              <w:rPr>
                <w:rFonts w:cs="Arial"/>
                <w:lang w:eastAsia="en-NZ"/>
              </w:rPr>
            </w:pPr>
          </w:p>
        </w:tc>
      </w:tr>
    </w:tbl>
    <w:p w14:paraId="6586C59E"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7E5822B9" w14:textId="77777777" w:rsidR="00460D43" w:rsidRDefault="00000000">
      <w:pPr>
        <w:pStyle w:val="Heading1"/>
        <w:rPr>
          <w:rFonts w:cs="Arial"/>
        </w:rPr>
      </w:pPr>
      <w:r>
        <w:rPr>
          <w:rFonts w:cs="Arial"/>
        </w:rPr>
        <w:lastRenderedPageBreak/>
        <w:t>Specific results for criterion where corrective actions are required</w:t>
      </w:r>
    </w:p>
    <w:p w14:paraId="16391BBB"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7E9869D"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4DDF8EC"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1307"/>
        <w:gridCol w:w="3590"/>
        <w:gridCol w:w="3410"/>
        <w:gridCol w:w="2278"/>
      </w:tblGrid>
      <w:tr w:rsidR="00F02029" w14:paraId="2D388EDE" w14:textId="77777777">
        <w:tc>
          <w:tcPr>
            <w:tcW w:w="0" w:type="auto"/>
          </w:tcPr>
          <w:p w14:paraId="12A33EF1"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BB268C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66ABA9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784147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111A6C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02029" w14:paraId="3348359F" w14:textId="77777777">
        <w:tc>
          <w:tcPr>
            <w:tcW w:w="0" w:type="auto"/>
          </w:tcPr>
          <w:p w14:paraId="6DCD9B4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2.3.4</w:t>
            </w:r>
          </w:p>
          <w:p w14:paraId="03CC1C8A"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486F90E8"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B16E5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for 2023; however, not all two-yearly mandatory training has been included. </w:t>
            </w:r>
          </w:p>
          <w:p w14:paraId="38751B8C" w14:textId="77777777" w:rsidR="00EB7645" w:rsidRPr="00BE00C7" w:rsidRDefault="00000000" w:rsidP="00BE00C7">
            <w:pPr>
              <w:pStyle w:val="OutcomeDescription"/>
              <w:spacing w:before="120" w:after="120"/>
              <w:rPr>
                <w:rFonts w:cs="Arial"/>
                <w:lang w:eastAsia="en-NZ"/>
              </w:rPr>
            </w:pPr>
          </w:p>
        </w:tc>
        <w:tc>
          <w:tcPr>
            <w:tcW w:w="0" w:type="auto"/>
          </w:tcPr>
          <w:p w14:paraId="7FAEA8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no evidence of mandatory training provided for the following: sexuality/intimacy, spirituality/counselling, the aging process, loss, and grief, nutrition/hydration, and complaints management.</w:t>
            </w:r>
          </w:p>
          <w:p w14:paraId="6A889329" w14:textId="77777777" w:rsidR="00EB7645" w:rsidRPr="00BE00C7" w:rsidRDefault="00000000" w:rsidP="00BE00C7">
            <w:pPr>
              <w:pStyle w:val="OutcomeDescription"/>
              <w:spacing w:before="120" w:after="120"/>
              <w:rPr>
                <w:rFonts w:cs="Arial"/>
                <w:lang w:eastAsia="en-NZ"/>
              </w:rPr>
            </w:pPr>
          </w:p>
        </w:tc>
        <w:tc>
          <w:tcPr>
            <w:tcW w:w="0" w:type="auto"/>
          </w:tcPr>
          <w:p w14:paraId="14828834"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all two-yearly mandatory training is conducted for all staff.</w:t>
            </w:r>
          </w:p>
          <w:p w14:paraId="6EAFF37A" w14:textId="77777777" w:rsidR="00EB7645" w:rsidRPr="00BE00C7" w:rsidRDefault="00000000" w:rsidP="00BE00C7">
            <w:pPr>
              <w:pStyle w:val="OutcomeDescription"/>
              <w:spacing w:before="120" w:after="120"/>
              <w:rPr>
                <w:rFonts w:cs="Arial"/>
                <w:lang w:eastAsia="en-NZ"/>
              </w:rPr>
            </w:pPr>
          </w:p>
          <w:p w14:paraId="6F1C7F30"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F02029" w14:paraId="07D2CF83" w14:textId="77777777">
        <w:tc>
          <w:tcPr>
            <w:tcW w:w="0" w:type="auto"/>
          </w:tcPr>
          <w:p w14:paraId="743DDEDD"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3.2.1</w:t>
            </w:r>
          </w:p>
          <w:p w14:paraId="049BB6C8"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64BFB8BF"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A1F6A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are responsible for nursing assessment which includes interRAI assessments and care planning. All files reviewed had evidence of initial assessments which included residents values, preferences, and choices and these were documented consistently. </w:t>
            </w:r>
          </w:p>
          <w:p w14:paraId="123364F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An interRAI waiver was in place for a period in 2022. The waiver allows for the deferral of interRAI reassessments for a period of time. Despite this, during the waiver 21-day interRAI assessments must be completed. A shortfall was identified when there was no 21-day interRAI completed for a new admission (an initial care plan was in place). Following the end of the waiver, three files did not have interRAI reassessments completed prior to the care plan being reviewed.</w:t>
            </w:r>
          </w:p>
          <w:p w14:paraId="58B40F39" w14:textId="77777777" w:rsidR="00EB7645" w:rsidRPr="00BE00C7" w:rsidRDefault="00000000" w:rsidP="00BE00C7">
            <w:pPr>
              <w:pStyle w:val="OutcomeDescription"/>
              <w:spacing w:before="120" w:after="120"/>
              <w:rPr>
                <w:rFonts w:cs="Arial"/>
                <w:lang w:eastAsia="en-NZ"/>
              </w:rPr>
            </w:pPr>
          </w:p>
        </w:tc>
        <w:tc>
          <w:tcPr>
            <w:tcW w:w="0" w:type="auto"/>
          </w:tcPr>
          <w:p w14:paraId="0EB8D4D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There was no evidence of an initial 21-day interRAI assessment completed in one of the six files reviewed. </w:t>
            </w:r>
          </w:p>
          <w:p w14:paraId="63CA6C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The six-monthly interRAI reassessments were not completed prior to the update of the care plan </w:t>
            </w:r>
            <w:r w:rsidRPr="00BE00C7">
              <w:rPr>
                <w:rFonts w:cs="Arial"/>
                <w:lang w:eastAsia="en-NZ"/>
              </w:rPr>
              <w:lastRenderedPageBreak/>
              <w:t xml:space="preserve">for three of six resident files reviewed. </w:t>
            </w:r>
          </w:p>
          <w:p w14:paraId="67A541BB" w14:textId="77777777" w:rsidR="00EB7645" w:rsidRPr="00BE00C7" w:rsidRDefault="00000000" w:rsidP="00BE00C7">
            <w:pPr>
              <w:pStyle w:val="OutcomeDescription"/>
              <w:spacing w:before="120" w:after="120"/>
              <w:rPr>
                <w:rFonts w:cs="Arial"/>
                <w:lang w:eastAsia="en-NZ"/>
              </w:rPr>
            </w:pPr>
          </w:p>
        </w:tc>
        <w:tc>
          <w:tcPr>
            <w:tcW w:w="0" w:type="auto"/>
          </w:tcPr>
          <w:p w14:paraId="49D78A0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&amp; ii). Ensure interRAI assessments are completed within expected timeframes. </w:t>
            </w:r>
          </w:p>
          <w:p w14:paraId="6CD752B5" w14:textId="77777777" w:rsidR="00EB7645" w:rsidRPr="00BE00C7" w:rsidRDefault="00000000" w:rsidP="00BE00C7">
            <w:pPr>
              <w:pStyle w:val="OutcomeDescription"/>
              <w:spacing w:before="120" w:after="120"/>
              <w:rPr>
                <w:rFonts w:cs="Arial"/>
                <w:lang w:eastAsia="en-NZ"/>
              </w:rPr>
            </w:pPr>
          </w:p>
          <w:p w14:paraId="1B8CE8FC"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F02029" w14:paraId="48FF0DE6" w14:textId="77777777">
        <w:tc>
          <w:tcPr>
            <w:tcW w:w="0" w:type="auto"/>
          </w:tcPr>
          <w:p w14:paraId="3D6F7E6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7950F687"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r>
            <w:r w:rsidRPr="00BE00C7">
              <w:rPr>
                <w:rFonts w:cs="Arial"/>
                <w:lang w:eastAsia="en-NZ"/>
              </w:rPr>
              <w:lastRenderedPageBreak/>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320E9354" w14:textId="77777777" w:rsidR="00EB7645" w:rsidRPr="00BE00C7" w:rsidRDefault="00000000" w:rsidP="00BE00C7">
            <w:pPr>
              <w:pStyle w:val="OutcomeDescription"/>
              <w:spacing w:before="120" w:after="120"/>
              <w:rPr>
                <w:rFonts w:cs="Arial"/>
                <w:lang w:eastAsia="en-NZ"/>
              </w:rPr>
            </w:pPr>
          </w:p>
        </w:tc>
        <w:tc>
          <w:tcPr>
            <w:tcW w:w="0" w:type="auto"/>
          </w:tcPr>
          <w:p w14:paraId="7436C1C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3B4B4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Initial care plans and care plan interventions were documented in the care plans reviewed. Initial care plans have been completed; however, in four care plans, these have not been updated and progressed to long term care plans. Care plans are holistic and are overall individualised and reflective of each residents values, beliefs, culture and document what is important to that resident. This is a documentation issue only, the care assistants interviewed were knowledgeable around the specific care requirements for residents. </w:t>
            </w:r>
          </w:p>
          <w:p w14:paraId="768FB1F5" w14:textId="77777777" w:rsidR="00EB7645" w:rsidRPr="00BE00C7" w:rsidRDefault="00000000" w:rsidP="00BE00C7">
            <w:pPr>
              <w:pStyle w:val="OutcomeDescription"/>
              <w:spacing w:before="120" w:after="120"/>
              <w:rPr>
                <w:rFonts w:cs="Arial"/>
                <w:lang w:eastAsia="en-NZ"/>
              </w:rPr>
            </w:pPr>
          </w:p>
        </w:tc>
        <w:tc>
          <w:tcPr>
            <w:tcW w:w="0" w:type="auto"/>
          </w:tcPr>
          <w:p w14:paraId="01AB0DCD"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plan interventions for four of the six files reviewed did not evidence progression of interventions around mobility, medication management, and challenging behaviours from the initial care plan to the long term care plan.</w:t>
            </w:r>
          </w:p>
          <w:p w14:paraId="1A3D2673" w14:textId="77777777" w:rsidR="00EB7645" w:rsidRPr="00BE00C7" w:rsidRDefault="00000000" w:rsidP="00BE00C7">
            <w:pPr>
              <w:pStyle w:val="OutcomeDescription"/>
              <w:spacing w:before="120" w:after="120"/>
              <w:rPr>
                <w:rFonts w:cs="Arial"/>
                <w:lang w:eastAsia="en-NZ"/>
              </w:rPr>
            </w:pPr>
          </w:p>
        </w:tc>
        <w:tc>
          <w:tcPr>
            <w:tcW w:w="0" w:type="auto"/>
          </w:tcPr>
          <w:p w14:paraId="36F8CD5E"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care plans provide evidence of updated changes to care requirements including mobility, medication management, and challenging behaviours.</w:t>
            </w:r>
          </w:p>
          <w:p w14:paraId="01EB537D" w14:textId="77777777" w:rsidR="00EB7645" w:rsidRPr="00BE00C7" w:rsidRDefault="00000000" w:rsidP="00BE00C7">
            <w:pPr>
              <w:pStyle w:val="OutcomeDescription"/>
              <w:spacing w:before="120" w:after="120"/>
              <w:rPr>
                <w:rFonts w:cs="Arial"/>
                <w:lang w:eastAsia="en-NZ"/>
              </w:rPr>
            </w:pPr>
          </w:p>
          <w:p w14:paraId="3BEE88B3"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F02029" w14:paraId="1BC6A3F0" w14:textId="77777777">
        <w:tc>
          <w:tcPr>
            <w:tcW w:w="0" w:type="auto"/>
          </w:tcPr>
          <w:p w14:paraId="7BC51D59"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3.2.4</w:t>
            </w:r>
          </w:p>
          <w:p w14:paraId="5403D5A5" w14:textId="77777777" w:rsidR="00EB7645"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w:t>
            </w:r>
            <w:r w:rsidRPr="00BE00C7">
              <w:rPr>
                <w:rFonts w:cs="Arial"/>
                <w:lang w:eastAsia="en-NZ"/>
              </w:rPr>
              <w:lastRenderedPageBreak/>
              <w:t>assessments are an ongoing process and that any changes are documented.</w:t>
            </w:r>
          </w:p>
          <w:p w14:paraId="3227ED97" w14:textId="77777777" w:rsidR="00EB7645" w:rsidRPr="00BE00C7" w:rsidRDefault="00000000" w:rsidP="00BE00C7">
            <w:pPr>
              <w:pStyle w:val="OutcomeDescription"/>
              <w:spacing w:before="120" w:after="120"/>
              <w:rPr>
                <w:rFonts w:cs="Arial"/>
                <w:lang w:eastAsia="en-NZ"/>
              </w:rPr>
            </w:pPr>
          </w:p>
        </w:tc>
        <w:tc>
          <w:tcPr>
            <w:tcW w:w="0" w:type="auto"/>
          </w:tcPr>
          <w:p w14:paraId="40D27AB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5BBB06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a range of monitoring charts available for the RNs to utilise including weight, vital signs which have all been completed according to policy. Policy documents state that where there are unwitnessed falls, staff must commence neurological observations. Neurological observations were commenced following unwitnessed falls in documentation reviewed. Care assistants ensure RNs are advised of all incidents.</w:t>
            </w:r>
          </w:p>
          <w:p w14:paraId="6C6B300A" w14:textId="77777777" w:rsidR="00EB7645" w:rsidRPr="00BE00C7" w:rsidRDefault="00000000" w:rsidP="00BE00C7">
            <w:pPr>
              <w:pStyle w:val="OutcomeDescription"/>
              <w:spacing w:before="120" w:after="120"/>
              <w:rPr>
                <w:rFonts w:cs="Arial"/>
                <w:lang w:eastAsia="en-NZ"/>
              </w:rPr>
            </w:pPr>
          </w:p>
        </w:tc>
        <w:tc>
          <w:tcPr>
            <w:tcW w:w="0" w:type="auto"/>
          </w:tcPr>
          <w:p w14:paraId="671EDA8E" w14:textId="77777777" w:rsidR="00EB7645" w:rsidRPr="00BE00C7" w:rsidRDefault="00000000" w:rsidP="00BE00C7">
            <w:pPr>
              <w:pStyle w:val="OutcomeDescription"/>
              <w:spacing w:before="120" w:after="120"/>
              <w:rPr>
                <w:rFonts w:cs="Arial"/>
                <w:lang w:eastAsia="en-NZ"/>
              </w:rPr>
            </w:pPr>
            <w:r w:rsidRPr="00BE00C7">
              <w:rPr>
                <w:rFonts w:cs="Arial"/>
                <w:lang w:eastAsia="en-NZ"/>
              </w:rPr>
              <w:t>In four of five unwitnessed falls reviewed, neurological observation recordings were not documented at the intervals required by policy.</w:t>
            </w:r>
          </w:p>
          <w:p w14:paraId="25B35B38" w14:textId="77777777" w:rsidR="00EB7645" w:rsidRPr="00BE00C7" w:rsidRDefault="00000000" w:rsidP="00BE00C7">
            <w:pPr>
              <w:pStyle w:val="OutcomeDescription"/>
              <w:spacing w:before="120" w:after="120"/>
              <w:rPr>
                <w:rFonts w:cs="Arial"/>
                <w:lang w:eastAsia="en-NZ"/>
              </w:rPr>
            </w:pPr>
          </w:p>
        </w:tc>
        <w:tc>
          <w:tcPr>
            <w:tcW w:w="0" w:type="auto"/>
          </w:tcPr>
          <w:p w14:paraId="6CBF40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care staff understand the requirements of completing the neurological observations as per policy. </w:t>
            </w:r>
          </w:p>
          <w:p w14:paraId="00268B17" w14:textId="77777777" w:rsidR="00EB7645" w:rsidRPr="00BE00C7" w:rsidRDefault="00000000" w:rsidP="00BE00C7">
            <w:pPr>
              <w:pStyle w:val="OutcomeDescription"/>
              <w:spacing w:before="120" w:after="120"/>
              <w:rPr>
                <w:rFonts w:cs="Arial"/>
                <w:lang w:eastAsia="en-NZ"/>
              </w:rPr>
            </w:pPr>
          </w:p>
          <w:p w14:paraId="61B299E4"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F02029" w14:paraId="285BFDC7" w14:textId="77777777">
        <w:tc>
          <w:tcPr>
            <w:tcW w:w="0" w:type="auto"/>
          </w:tcPr>
          <w:p w14:paraId="2E8BE377"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47A20553"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2DB32ABA"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D7AF8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medication management system in place that meets the service’s requirements. There were photographs in place for identification of residents and efficacy of as required - prn medications were recorded in the electronic medication system. The annual stocktake of controlled drugs had been completed since the last audit in 2022; however, the  weekly stock count was not always completed each week. </w:t>
            </w:r>
          </w:p>
          <w:p w14:paraId="01A72159" w14:textId="77777777" w:rsidR="00EB7645" w:rsidRPr="00BE00C7" w:rsidRDefault="00000000" w:rsidP="00BE00C7">
            <w:pPr>
              <w:pStyle w:val="OutcomeDescription"/>
              <w:spacing w:before="120" w:after="120"/>
              <w:rPr>
                <w:rFonts w:cs="Arial"/>
                <w:lang w:eastAsia="en-NZ"/>
              </w:rPr>
            </w:pPr>
          </w:p>
        </w:tc>
        <w:tc>
          <w:tcPr>
            <w:tcW w:w="0" w:type="auto"/>
          </w:tcPr>
          <w:p w14:paraId="03B6FD2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Weekly stocktakes were completed for most weeks; however, there were five occasions that these were not done. </w:t>
            </w:r>
          </w:p>
          <w:p w14:paraId="1E1A358F" w14:textId="77777777" w:rsidR="00EB7645" w:rsidRPr="00BE00C7" w:rsidRDefault="00000000" w:rsidP="00BE00C7">
            <w:pPr>
              <w:pStyle w:val="OutcomeDescription"/>
              <w:spacing w:before="120" w:after="120"/>
              <w:rPr>
                <w:rFonts w:cs="Arial"/>
                <w:lang w:eastAsia="en-NZ"/>
              </w:rPr>
            </w:pPr>
          </w:p>
        </w:tc>
        <w:tc>
          <w:tcPr>
            <w:tcW w:w="0" w:type="auto"/>
          </w:tcPr>
          <w:p w14:paraId="6E85680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weekly stock counts are done for all controlled drugs. </w:t>
            </w:r>
          </w:p>
          <w:p w14:paraId="0EF3B9A2" w14:textId="77777777" w:rsidR="00EB7645" w:rsidRPr="00BE00C7" w:rsidRDefault="00000000" w:rsidP="00BE00C7">
            <w:pPr>
              <w:pStyle w:val="OutcomeDescription"/>
              <w:spacing w:before="120" w:after="120"/>
              <w:rPr>
                <w:rFonts w:cs="Arial"/>
                <w:lang w:eastAsia="en-NZ"/>
              </w:rPr>
            </w:pPr>
          </w:p>
          <w:p w14:paraId="37252DD4"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F02029" w14:paraId="29530F12" w14:textId="77777777">
        <w:tc>
          <w:tcPr>
            <w:tcW w:w="0" w:type="auto"/>
          </w:tcPr>
          <w:p w14:paraId="6C23740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3.4.6</w:t>
            </w:r>
          </w:p>
          <w:p w14:paraId="27268430"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0BA9EAE6"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0A53B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Assessments for residents who are self-administering were completed and signed by the GP. Shortfalls were identified in that these assessments had not been updated as per the Medication Management policy. </w:t>
            </w:r>
          </w:p>
          <w:p w14:paraId="2DEDE45C" w14:textId="77777777" w:rsidR="00EB7645" w:rsidRPr="00BE00C7" w:rsidRDefault="00000000" w:rsidP="00BE00C7">
            <w:pPr>
              <w:pStyle w:val="OutcomeDescription"/>
              <w:spacing w:before="120" w:after="120"/>
              <w:rPr>
                <w:rFonts w:cs="Arial"/>
                <w:lang w:eastAsia="en-NZ"/>
              </w:rPr>
            </w:pPr>
          </w:p>
        </w:tc>
        <w:tc>
          <w:tcPr>
            <w:tcW w:w="0" w:type="auto"/>
          </w:tcPr>
          <w:p w14:paraId="1A5E78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assessments for the four residents who were self-administering had not been reviewed since they have been completed. </w:t>
            </w:r>
          </w:p>
          <w:p w14:paraId="354E744C" w14:textId="77777777" w:rsidR="00EB7645" w:rsidRPr="00BE00C7" w:rsidRDefault="00000000" w:rsidP="00BE00C7">
            <w:pPr>
              <w:pStyle w:val="OutcomeDescription"/>
              <w:spacing w:before="120" w:after="120"/>
              <w:rPr>
                <w:rFonts w:cs="Arial"/>
                <w:lang w:eastAsia="en-NZ"/>
              </w:rPr>
            </w:pPr>
          </w:p>
        </w:tc>
        <w:tc>
          <w:tcPr>
            <w:tcW w:w="0" w:type="auto"/>
          </w:tcPr>
          <w:p w14:paraId="1DD0573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there are ongoing re assessments for residents who are self-administering. </w:t>
            </w:r>
          </w:p>
          <w:p w14:paraId="5CAD7C2A" w14:textId="77777777" w:rsidR="00EB7645" w:rsidRPr="00BE00C7" w:rsidRDefault="00000000" w:rsidP="00BE00C7">
            <w:pPr>
              <w:pStyle w:val="OutcomeDescription"/>
              <w:spacing w:before="120" w:after="120"/>
              <w:rPr>
                <w:rFonts w:cs="Arial"/>
                <w:lang w:eastAsia="en-NZ"/>
              </w:rPr>
            </w:pPr>
          </w:p>
          <w:p w14:paraId="06814C26"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7275E108"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2F46D24A" w14:textId="77777777" w:rsidR="00460D43" w:rsidRDefault="00000000">
      <w:pPr>
        <w:pStyle w:val="Heading1"/>
        <w:rPr>
          <w:rFonts w:cs="Arial"/>
        </w:rPr>
      </w:pPr>
      <w:r>
        <w:rPr>
          <w:rFonts w:cs="Arial"/>
        </w:rPr>
        <w:lastRenderedPageBreak/>
        <w:t>Specific results for criterion where a continuous improvement has been recorded</w:t>
      </w:r>
    </w:p>
    <w:p w14:paraId="4AFE2764"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339FE3F"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2DB8556"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02029" w14:paraId="0109A189" w14:textId="77777777">
        <w:tc>
          <w:tcPr>
            <w:tcW w:w="0" w:type="auto"/>
          </w:tcPr>
          <w:p w14:paraId="2A9714E7"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986C069"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71906C76"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1C50" w14:textId="77777777" w:rsidR="00230EC0" w:rsidRDefault="00230EC0">
      <w:r>
        <w:separator/>
      </w:r>
    </w:p>
  </w:endnote>
  <w:endnote w:type="continuationSeparator" w:id="0">
    <w:p w14:paraId="72C8955B" w14:textId="77777777" w:rsidR="00230EC0" w:rsidRDefault="0023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C275" w14:textId="77777777" w:rsidR="000B00BC" w:rsidRDefault="00000000">
    <w:pPr>
      <w:pStyle w:val="Footer"/>
    </w:pPr>
  </w:p>
  <w:p w14:paraId="331507A7" w14:textId="77777777" w:rsidR="005A4A55" w:rsidRDefault="00000000"/>
  <w:p w14:paraId="48D362F7"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C869"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Kyber Health Care Limited - Waikiwi Gardens Rest Home</w:t>
    </w:r>
    <w:bookmarkEnd w:id="59"/>
    <w:r>
      <w:rPr>
        <w:rFonts w:cs="Arial"/>
        <w:sz w:val="16"/>
        <w:szCs w:val="20"/>
      </w:rPr>
      <w:tab/>
      <w:t xml:space="preserve">Date of Audit: </w:t>
    </w:r>
    <w:bookmarkStart w:id="60" w:name="AuditStartDate1"/>
    <w:r>
      <w:rPr>
        <w:rFonts w:cs="Arial"/>
        <w:sz w:val="16"/>
        <w:szCs w:val="20"/>
      </w:rPr>
      <w:t>14 December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A762E1A"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F335"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A3F6" w14:textId="77777777" w:rsidR="00230EC0" w:rsidRDefault="00230EC0">
      <w:r>
        <w:separator/>
      </w:r>
    </w:p>
  </w:footnote>
  <w:footnote w:type="continuationSeparator" w:id="0">
    <w:p w14:paraId="2FB8697F" w14:textId="77777777" w:rsidR="00230EC0" w:rsidRDefault="00230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9355" w14:textId="77777777" w:rsidR="000B00BC" w:rsidRDefault="00000000">
    <w:pPr>
      <w:pStyle w:val="Header"/>
    </w:pPr>
  </w:p>
  <w:p w14:paraId="1AFB2B94"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9F4C" w14:textId="77777777" w:rsidR="000B00BC" w:rsidRDefault="00000000">
    <w:pPr>
      <w:pStyle w:val="Header"/>
    </w:pPr>
  </w:p>
  <w:p w14:paraId="02AA162F"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92E9"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F50FBCE">
      <w:start w:val="1"/>
      <w:numFmt w:val="decimal"/>
      <w:lvlText w:val="%1."/>
      <w:lvlJc w:val="left"/>
      <w:pPr>
        <w:ind w:left="360" w:hanging="360"/>
      </w:pPr>
    </w:lvl>
    <w:lvl w:ilvl="1" w:tplc="ADFAC1A0" w:tentative="1">
      <w:start w:val="1"/>
      <w:numFmt w:val="lowerLetter"/>
      <w:lvlText w:val="%2."/>
      <w:lvlJc w:val="left"/>
      <w:pPr>
        <w:ind w:left="1080" w:hanging="360"/>
      </w:pPr>
    </w:lvl>
    <w:lvl w:ilvl="2" w:tplc="D06E96D6" w:tentative="1">
      <w:start w:val="1"/>
      <w:numFmt w:val="lowerRoman"/>
      <w:lvlText w:val="%3."/>
      <w:lvlJc w:val="right"/>
      <w:pPr>
        <w:ind w:left="1800" w:hanging="180"/>
      </w:pPr>
    </w:lvl>
    <w:lvl w:ilvl="3" w:tplc="36442FAA" w:tentative="1">
      <w:start w:val="1"/>
      <w:numFmt w:val="decimal"/>
      <w:lvlText w:val="%4."/>
      <w:lvlJc w:val="left"/>
      <w:pPr>
        <w:ind w:left="2520" w:hanging="360"/>
      </w:pPr>
    </w:lvl>
    <w:lvl w:ilvl="4" w:tplc="E5766488" w:tentative="1">
      <w:start w:val="1"/>
      <w:numFmt w:val="lowerLetter"/>
      <w:lvlText w:val="%5."/>
      <w:lvlJc w:val="left"/>
      <w:pPr>
        <w:ind w:left="3240" w:hanging="360"/>
      </w:pPr>
    </w:lvl>
    <w:lvl w:ilvl="5" w:tplc="3B14EE56" w:tentative="1">
      <w:start w:val="1"/>
      <w:numFmt w:val="lowerRoman"/>
      <w:lvlText w:val="%6."/>
      <w:lvlJc w:val="right"/>
      <w:pPr>
        <w:ind w:left="3960" w:hanging="180"/>
      </w:pPr>
    </w:lvl>
    <w:lvl w:ilvl="6" w:tplc="D730DA9A" w:tentative="1">
      <w:start w:val="1"/>
      <w:numFmt w:val="decimal"/>
      <w:lvlText w:val="%7."/>
      <w:lvlJc w:val="left"/>
      <w:pPr>
        <w:ind w:left="4680" w:hanging="360"/>
      </w:pPr>
    </w:lvl>
    <w:lvl w:ilvl="7" w:tplc="E5D82A5E" w:tentative="1">
      <w:start w:val="1"/>
      <w:numFmt w:val="lowerLetter"/>
      <w:lvlText w:val="%8."/>
      <w:lvlJc w:val="left"/>
      <w:pPr>
        <w:ind w:left="5400" w:hanging="360"/>
      </w:pPr>
    </w:lvl>
    <w:lvl w:ilvl="8" w:tplc="D49886B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BF2D066">
      <w:start w:val="1"/>
      <w:numFmt w:val="bullet"/>
      <w:lvlText w:val=""/>
      <w:lvlJc w:val="left"/>
      <w:pPr>
        <w:ind w:left="720" w:hanging="360"/>
      </w:pPr>
      <w:rPr>
        <w:rFonts w:ascii="Symbol" w:hAnsi="Symbol" w:hint="default"/>
      </w:rPr>
    </w:lvl>
    <w:lvl w:ilvl="1" w:tplc="8A7AF752" w:tentative="1">
      <w:start w:val="1"/>
      <w:numFmt w:val="bullet"/>
      <w:lvlText w:val="o"/>
      <w:lvlJc w:val="left"/>
      <w:pPr>
        <w:ind w:left="1440" w:hanging="360"/>
      </w:pPr>
      <w:rPr>
        <w:rFonts w:ascii="Courier New" w:hAnsi="Courier New" w:cs="Courier New" w:hint="default"/>
      </w:rPr>
    </w:lvl>
    <w:lvl w:ilvl="2" w:tplc="C6A8922C" w:tentative="1">
      <w:start w:val="1"/>
      <w:numFmt w:val="bullet"/>
      <w:lvlText w:val=""/>
      <w:lvlJc w:val="left"/>
      <w:pPr>
        <w:ind w:left="2160" w:hanging="360"/>
      </w:pPr>
      <w:rPr>
        <w:rFonts w:ascii="Wingdings" w:hAnsi="Wingdings" w:hint="default"/>
      </w:rPr>
    </w:lvl>
    <w:lvl w:ilvl="3" w:tplc="18D28C68" w:tentative="1">
      <w:start w:val="1"/>
      <w:numFmt w:val="bullet"/>
      <w:lvlText w:val=""/>
      <w:lvlJc w:val="left"/>
      <w:pPr>
        <w:ind w:left="2880" w:hanging="360"/>
      </w:pPr>
      <w:rPr>
        <w:rFonts w:ascii="Symbol" w:hAnsi="Symbol" w:hint="default"/>
      </w:rPr>
    </w:lvl>
    <w:lvl w:ilvl="4" w:tplc="F7504510" w:tentative="1">
      <w:start w:val="1"/>
      <w:numFmt w:val="bullet"/>
      <w:lvlText w:val="o"/>
      <w:lvlJc w:val="left"/>
      <w:pPr>
        <w:ind w:left="3600" w:hanging="360"/>
      </w:pPr>
      <w:rPr>
        <w:rFonts w:ascii="Courier New" w:hAnsi="Courier New" w:cs="Courier New" w:hint="default"/>
      </w:rPr>
    </w:lvl>
    <w:lvl w:ilvl="5" w:tplc="006EC45A" w:tentative="1">
      <w:start w:val="1"/>
      <w:numFmt w:val="bullet"/>
      <w:lvlText w:val=""/>
      <w:lvlJc w:val="left"/>
      <w:pPr>
        <w:ind w:left="4320" w:hanging="360"/>
      </w:pPr>
      <w:rPr>
        <w:rFonts w:ascii="Wingdings" w:hAnsi="Wingdings" w:hint="default"/>
      </w:rPr>
    </w:lvl>
    <w:lvl w:ilvl="6" w:tplc="5E94E8DA" w:tentative="1">
      <w:start w:val="1"/>
      <w:numFmt w:val="bullet"/>
      <w:lvlText w:val=""/>
      <w:lvlJc w:val="left"/>
      <w:pPr>
        <w:ind w:left="5040" w:hanging="360"/>
      </w:pPr>
      <w:rPr>
        <w:rFonts w:ascii="Symbol" w:hAnsi="Symbol" w:hint="default"/>
      </w:rPr>
    </w:lvl>
    <w:lvl w:ilvl="7" w:tplc="A1E66DB0" w:tentative="1">
      <w:start w:val="1"/>
      <w:numFmt w:val="bullet"/>
      <w:lvlText w:val="o"/>
      <w:lvlJc w:val="left"/>
      <w:pPr>
        <w:ind w:left="5760" w:hanging="360"/>
      </w:pPr>
      <w:rPr>
        <w:rFonts w:ascii="Courier New" w:hAnsi="Courier New" w:cs="Courier New" w:hint="default"/>
      </w:rPr>
    </w:lvl>
    <w:lvl w:ilvl="8" w:tplc="62189C90" w:tentative="1">
      <w:start w:val="1"/>
      <w:numFmt w:val="bullet"/>
      <w:lvlText w:val=""/>
      <w:lvlJc w:val="left"/>
      <w:pPr>
        <w:ind w:left="6480" w:hanging="360"/>
      </w:pPr>
      <w:rPr>
        <w:rFonts w:ascii="Wingdings" w:hAnsi="Wingdings" w:hint="default"/>
      </w:rPr>
    </w:lvl>
  </w:abstractNum>
  <w:num w:numId="1" w16cid:durableId="1724988267">
    <w:abstractNumId w:val="1"/>
  </w:num>
  <w:num w:numId="2" w16cid:durableId="106353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29"/>
    <w:rsid w:val="000779CD"/>
    <w:rsid w:val="00230EC0"/>
    <w:rsid w:val="006B52BE"/>
    <w:rsid w:val="00983FEF"/>
    <w:rsid w:val="00F020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12C5"/>
  <w15:docId w15:val="{AF14BAB0-BEBA-461D-B112-C57652AE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13940</Words>
  <Characters>79461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4</cp:revision>
  <dcterms:created xsi:type="dcterms:W3CDTF">2024-02-28T21:56:00Z</dcterms:created>
  <dcterms:modified xsi:type="dcterms:W3CDTF">2024-02-28T22:00:00Z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