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014A" w14:textId="77777777" w:rsidR="00460D43" w:rsidRDefault="00000000">
      <w:pPr>
        <w:pStyle w:val="Heading1"/>
        <w:rPr>
          <w:rFonts w:cs="Arial"/>
        </w:rPr>
      </w:pPr>
      <w:bookmarkStart w:id="0" w:name="PRMS_RIName"/>
      <w:r>
        <w:rPr>
          <w:rFonts w:cs="Arial"/>
        </w:rPr>
        <w:t>Metlifecare Limited - Metlifecare Palmerston North</w:t>
      </w:r>
      <w:bookmarkEnd w:id="0"/>
    </w:p>
    <w:p w14:paraId="20BB4E2C" w14:textId="77777777" w:rsidR="00460D43" w:rsidRDefault="00000000">
      <w:pPr>
        <w:pStyle w:val="Heading2"/>
        <w:spacing w:after="0"/>
        <w:rPr>
          <w:rFonts w:cs="Arial"/>
        </w:rPr>
      </w:pPr>
      <w:r>
        <w:rPr>
          <w:rFonts w:cs="Arial"/>
        </w:rPr>
        <w:t>Introduction</w:t>
      </w:r>
    </w:p>
    <w:p w14:paraId="4CB2C31A"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0F3A37A"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DD3296F"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8E93DF3"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6FA6237" w14:textId="77777777" w:rsidR="00460D43" w:rsidRDefault="00000000">
      <w:pPr>
        <w:spacing w:before="240" w:after="240"/>
        <w:rPr>
          <w:rFonts w:cs="Arial"/>
          <w:lang w:eastAsia="en-NZ"/>
        </w:rPr>
      </w:pPr>
      <w:r>
        <w:rPr>
          <w:rFonts w:cs="Arial"/>
          <w:lang w:eastAsia="en-NZ"/>
        </w:rPr>
        <w:t>The specifics of this audit included:</w:t>
      </w:r>
    </w:p>
    <w:p w14:paraId="3E96AC5A"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55EC06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Limited</w:t>
      </w:r>
      <w:bookmarkEnd w:id="4"/>
    </w:p>
    <w:p w14:paraId="0F0802B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Metlifecare Palmerston North</w:t>
      </w:r>
      <w:bookmarkEnd w:id="5"/>
    </w:p>
    <w:p w14:paraId="415DE5E6"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A498F3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April 2024</w:t>
      </w:r>
      <w:bookmarkEnd w:id="7"/>
      <w:r w:rsidRPr="009418D4">
        <w:rPr>
          <w:rFonts w:cs="Arial"/>
        </w:rPr>
        <w:tab/>
        <w:t xml:space="preserve">End date: </w:t>
      </w:r>
      <w:bookmarkStart w:id="8" w:name="AuditEndDate"/>
      <w:r>
        <w:rPr>
          <w:rFonts w:cs="Arial"/>
        </w:rPr>
        <w:t>30 April 2024</w:t>
      </w:r>
      <w:bookmarkEnd w:id="8"/>
    </w:p>
    <w:p w14:paraId="0307B841"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A343A7A" w14:textId="77777777" w:rsidR="00771DDE"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14:paraId="20B44240"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E5E5942" w14:textId="77777777" w:rsidR="00460D43" w:rsidRDefault="00000000">
      <w:pPr>
        <w:pStyle w:val="Heading1"/>
        <w:rPr>
          <w:rFonts w:cs="Arial"/>
        </w:rPr>
      </w:pPr>
      <w:r>
        <w:rPr>
          <w:rFonts w:cs="Arial"/>
        </w:rPr>
        <w:lastRenderedPageBreak/>
        <w:t>Executive summary of the audit</w:t>
      </w:r>
    </w:p>
    <w:p w14:paraId="449301CF" w14:textId="77777777" w:rsidR="00460D43" w:rsidRDefault="00000000">
      <w:pPr>
        <w:pStyle w:val="Heading2"/>
        <w:rPr>
          <w:rFonts w:cs="Arial"/>
        </w:rPr>
      </w:pPr>
      <w:r>
        <w:rPr>
          <w:rFonts w:cs="Arial"/>
        </w:rPr>
        <w:t>Introduction</w:t>
      </w:r>
    </w:p>
    <w:p w14:paraId="56B92AF4"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8B1BACB"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557C3A7"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2F9C991"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3B688BC"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CA84B99"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F68E202"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5B32DC2"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5EF4CCF"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71DDE" w14:paraId="5F039DBA" w14:textId="77777777">
        <w:trPr>
          <w:cantSplit/>
          <w:tblHeader/>
        </w:trPr>
        <w:tc>
          <w:tcPr>
            <w:tcW w:w="1260" w:type="dxa"/>
            <w:tcBorders>
              <w:bottom w:val="single" w:sz="4" w:space="0" w:color="000000"/>
            </w:tcBorders>
            <w:vAlign w:val="center"/>
          </w:tcPr>
          <w:p w14:paraId="6862792A"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4CF238A"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9933276" w14:textId="77777777" w:rsidR="00460D43" w:rsidRDefault="00000000">
            <w:pPr>
              <w:spacing w:before="60" w:after="60"/>
              <w:rPr>
                <w:rFonts w:eastAsia="Calibri"/>
                <w:b/>
                <w:szCs w:val="24"/>
              </w:rPr>
            </w:pPr>
            <w:r>
              <w:rPr>
                <w:rFonts w:eastAsia="Calibri"/>
                <w:b/>
                <w:szCs w:val="24"/>
              </w:rPr>
              <w:t>Definition</w:t>
            </w:r>
          </w:p>
        </w:tc>
      </w:tr>
      <w:tr w:rsidR="00771DDE" w14:paraId="18747827" w14:textId="77777777">
        <w:trPr>
          <w:cantSplit/>
          <w:trHeight w:val="964"/>
        </w:trPr>
        <w:tc>
          <w:tcPr>
            <w:tcW w:w="1260" w:type="dxa"/>
            <w:tcBorders>
              <w:bottom w:val="single" w:sz="4" w:space="0" w:color="000000"/>
            </w:tcBorders>
            <w:shd w:val="clear" w:color="0066FF" w:fill="0000FF"/>
            <w:vAlign w:val="center"/>
          </w:tcPr>
          <w:p w14:paraId="28C6BFA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BB2AC99"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094685C"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71DDE" w14:paraId="347888DE" w14:textId="77777777">
        <w:trPr>
          <w:cantSplit/>
          <w:trHeight w:val="964"/>
        </w:trPr>
        <w:tc>
          <w:tcPr>
            <w:tcW w:w="1260" w:type="dxa"/>
            <w:shd w:val="clear" w:color="33CC33" w:fill="00FF00"/>
            <w:vAlign w:val="center"/>
          </w:tcPr>
          <w:p w14:paraId="473224C4" w14:textId="77777777" w:rsidR="00460D43" w:rsidRDefault="00000000">
            <w:pPr>
              <w:spacing w:before="60" w:after="60"/>
              <w:rPr>
                <w:rFonts w:eastAsia="Calibri"/>
                <w:szCs w:val="24"/>
              </w:rPr>
            </w:pPr>
          </w:p>
        </w:tc>
        <w:tc>
          <w:tcPr>
            <w:tcW w:w="7095" w:type="dxa"/>
            <w:shd w:val="clear" w:color="auto" w:fill="auto"/>
            <w:vAlign w:val="center"/>
          </w:tcPr>
          <w:p w14:paraId="69B960AC"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7BE8ECA"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771DDE" w14:paraId="4F7826C9" w14:textId="77777777">
        <w:trPr>
          <w:cantSplit/>
          <w:trHeight w:val="964"/>
        </w:trPr>
        <w:tc>
          <w:tcPr>
            <w:tcW w:w="1260" w:type="dxa"/>
            <w:tcBorders>
              <w:bottom w:val="single" w:sz="4" w:space="0" w:color="000000"/>
            </w:tcBorders>
            <w:shd w:val="clear" w:color="auto" w:fill="FFFF00"/>
            <w:vAlign w:val="center"/>
          </w:tcPr>
          <w:p w14:paraId="0F2769F1" w14:textId="77777777" w:rsidR="00460D43" w:rsidRDefault="00000000">
            <w:pPr>
              <w:spacing w:before="60" w:after="60"/>
              <w:rPr>
                <w:rFonts w:eastAsia="Calibri"/>
                <w:szCs w:val="24"/>
              </w:rPr>
            </w:pPr>
          </w:p>
        </w:tc>
        <w:tc>
          <w:tcPr>
            <w:tcW w:w="7095" w:type="dxa"/>
            <w:shd w:val="clear" w:color="auto" w:fill="auto"/>
            <w:vAlign w:val="center"/>
          </w:tcPr>
          <w:p w14:paraId="76180C5A"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39ED5AE"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771DDE" w14:paraId="57DA6CF5" w14:textId="77777777">
        <w:trPr>
          <w:cantSplit/>
          <w:trHeight w:val="964"/>
        </w:trPr>
        <w:tc>
          <w:tcPr>
            <w:tcW w:w="1260" w:type="dxa"/>
            <w:tcBorders>
              <w:bottom w:val="single" w:sz="4" w:space="0" w:color="000000"/>
            </w:tcBorders>
            <w:shd w:val="clear" w:color="auto" w:fill="FFC800"/>
            <w:vAlign w:val="center"/>
          </w:tcPr>
          <w:p w14:paraId="4F74DE2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17BAF5F"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103BF9C"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771DDE" w14:paraId="41F05469" w14:textId="77777777">
        <w:trPr>
          <w:cantSplit/>
          <w:trHeight w:val="964"/>
        </w:trPr>
        <w:tc>
          <w:tcPr>
            <w:tcW w:w="1260" w:type="dxa"/>
            <w:shd w:val="clear" w:color="auto" w:fill="FF0000"/>
            <w:vAlign w:val="center"/>
          </w:tcPr>
          <w:p w14:paraId="7192D010" w14:textId="77777777" w:rsidR="00460D43" w:rsidRDefault="00000000">
            <w:pPr>
              <w:spacing w:before="60" w:after="60"/>
              <w:rPr>
                <w:rFonts w:eastAsia="Calibri"/>
                <w:szCs w:val="24"/>
              </w:rPr>
            </w:pPr>
          </w:p>
        </w:tc>
        <w:tc>
          <w:tcPr>
            <w:tcW w:w="7095" w:type="dxa"/>
            <w:shd w:val="clear" w:color="auto" w:fill="auto"/>
            <w:vAlign w:val="center"/>
          </w:tcPr>
          <w:p w14:paraId="2844E695"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64EA3D7"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BE309CD" w14:textId="77777777" w:rsidR="00460D43" w:rsidRDefault="00000000">
      <w:pPr>
        <w:pStyle w:val="Heading2"/>
        <w:spacing w:after="0"/>
        <w:rPr>
          <w:rFonts w:cs="Arial"/>
        </w:rPr>
      </w:pPr>
      <w:r>
        <w:rPr>
          <w:rFonts w:cs="Arial"/>
        </w:rPr>
        <w:t>General overview of the audit</w:t>
      </w:r>
    </w:p>
    <w:p w14:paraId="0FFBC628" w14:textId="77777777" w:rsidR="00E536CC" w:rsidRDefault="00000000">
      <w:pPr>
        <w:spacing w:before="240" w:line="276" w:lineRule="auto"/>
        <w:rPr>
          <w:rFonts w:eastAsia="Calibri"/>
        </w:rPr>
      </w:pPr>
      <w:bookmarkStart w:id="13" w:name="GeneralOverview"/>
      <w:r w:rsidRPr="00A4268A">
        <w:rPr>
          <w:rFonts w:eastAsia="Calibri"/>
        </w:rPr>
        <w:t>Metlifecare Palmerston North provides rest home and hospital services for up to 55 residents. Since the previous certification audit, seventeen (17) care suites occupied through aged-related residential care under occupation rights agreement (ARRC in ORA) have been approved to provide dual care services (rest home or hospital level care services) from rest home only. There have been no further changes to the service or facilities since the previous (partial provisional) audit.</w:t>
      </w:r>
    </w:p>
    <w:p w14:paraId="48EDA75A" w14:textId="77777777" w:rsidR="00771DDE" w:rsidRPr="00A4268A" w:rsidRDefault="00000000">
      <w:pPr>
        <w:spacing w:before="240" w:line="276" w:lineRule="auto"/>
        <w:rPr>
          <w:rFonts w:eastAsia="Calibri"/>
        </w:rPr>
      </w:pPr>
      <w:r w:rsidRPr="00A4268A">
        <w:rPr>
          <w:rFonts w:eastAsia="Calibri"/>
        </w:rPr>
        <w:t>This surveillance audit process included review of relevant policies and procedures, review of residents’ and staff files, observations, and interviews with residents, whānau, managers, staff, and a nurse practitioner.</w:t>
      </w:r>
    </w:p>
    <w:p w14:paraId="6039F1B9" w14:textId="77777777" w:rsidR="00771DDE" w:rsidRPr="00A4268A" w:rsidRDefault="00000000">
      <w:pPr>
        <w:spacing w:before="240" w:line="276" w:lineRule="auto"/>
        <w:rPr>
          <w:rFonts w:eastAsia="Calibri"/>
        </w:rPr>
      </w:pPr>
      <w:r w:rsidRPr="00A4268A">
        <w:rPr>
          <w:rFonts w:eastAsia="Calibri"/>
        </w:rPr>
        <w:t>There were no areas requiring improvement from the last certification audit undertaken prior to the partial provisional audit. Two areas requiring improvement were identified at the partial provisional audit. These related to staffing for the extended hospital level care in the care suites, the number of staff with syringe driver competency, and evidence that the fire evacuation scheme has approval from Fire and Emergency New Zealand (FENZ) for the change in use of the care suites. These have been addressed.</w:t>
      </w:r>
    </w:p>
    <w:bookmarkEnd w:id="13"/>
    <w:p w14:paraId="29FB31BB" w14:textId="77777777" w:rsidR="00771DDE" w:rsidRPr="00A4268A" w:rsidRDefault="00771DDE">
      <w:pPr>
        <w:spacing w:before="240" w:line="276" w:lineRule="auto"/>
        <w:rPr>
          <w:rFonts w:eastAsia="Calibri"/>
        </w:rPr>
      </w:pPr>
    </w:p>
    <w:p w14:paraId="24AF9F83" w14:textId="77777777" w:rsidR="00460D43"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DDE" w14:paraId="7E77DA14" w14:textId="77777777" w:rsidTr="00A4268A">
        <w:trPr>
          <w:cantSplit/>
        </w:trPr>
        <w:tc>
          <w:tcPr>
            <w:tcW w:w="10206" w:type="dxa"/>
            <w:vAlign w:val="center"/>
          </w:tcPr>
          <w:p w14:paraId="0087307F"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D5C2BB0"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404D794"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8CF2980"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6F63583" w14:textId="77777777" w:rsidR="00460D43" w:rsidRDefault="00000000">
      <w:pPr>
        <w:spacing w:before="240" w:line="276" w:lineRule="auto"/>
        <w:rPr>
          <w:rFonts w:eastAsia="Calibri"/>
        </w:rPr>
      </w:pPr>
      <w:bookmarkStart w:id="16" w:name="ConsumerRights"/>
      <w:r w:rsidRPr="00A4268A">
        <w:rPr>
          <w:rFonts w:eastAsia="Calibri"/>
        </w:rPr>
        <w:t>Metlifecare Palmerston North provided an environment that supported residents’ rights and culturally safe care. Staff demonstrated an understanding of residents' rights and obligations. There was a health plan available that encapsulated care specifically directed at Māori, Pasifika, and other ethnicities. The service worked collaboratively with internal and external Māori supports to encourage a Māori worldview of health in service delivery. Systems were in place to ensure Māori would be provided with equitable and effective services based on Te Tiriti o Waitangi and the principles of mana motuhake (self-determination).  There were processes in place to ensure Pacific peoples would be able to be provided with services that were culturally safe.</w:t>
      </w:r>
    </w:p>
    <w:p w14:paraId="3E6FD35B" w14:textId="77777777" w:rsidR="00771DDE" w:rsidRPr="00A4268A" w:rsidRDefault="00000000">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Residents were safe from abuse and were receiving services in a manner that respected their dignity, privacy, and independence. The service provided services and support to people in a way that was inclusive and respected their identity, choices, and their experiences. There was evidence that residents and their whānau were kept well informed.</w:t>
      </w:r>
    </w:p>
    <w:p w14:paraId="630C320F" w14:textId="77777777" w:rsidR="00771DDE" w:rsidRPr="00A4268A" w:rsidRDefault="00000000">
      <w:pPr>
        <w:spacing w:before="240" w:line="276" w:lineRule="auto"/>
        <w:rPr>
          <w:rFonts w:eastAsia="Calibri"/>
        </w:rPr>
      </w:pPr>
      <w:r w:rsidRPr="00A4268A">
        <w:rPr>
          <w:rFonts w:eastAsia="Calibri"/>
        </w:rPr>
        <w:t>Complaints were resolved promptly and effectively in collaboration with all parties involved. There are processes in place to ensure that the complaints process works equitably for Māori. There have been no complaints received by the service from external sources.</w:t>
      </w:r>
    </w:p>
    <w:bookmarkEnd w:id="16"/>
    <w:p w14:paraId="65E947C8" w14:textId="77777777" w:rsidR="00771DDE" w:rsidRPr="00A4268A" w:rsidRDefault="00771DDE">
      <w:pPr>
        <w:spacing w:before="240" w:line="276" w:lineRule="auto"/>
        <w:rPr>
          <w:rFonts w:eastAsia="Calibri"/>
        </w:rPr>
      </w:pPr>
    </w:p>
    <w:p w14:paraId="4173B7CC"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DDE" w14:paraId="01FD46E7" w14:textId="77777777" w:rsidTr="00A4268A">
        <w:trPr>
          <w:cantSplit/>
        </w:trPr>
        <w:tc>
          <w:tcPr>
            <w:tcW w:w="10206" w:type="dxa"/>
            <w:vAlign w:val="center"/>
          </w:tcPr>
          <w:p w14:paraId="0F5ED56B"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42E2836"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9C97E41"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6C95C3BD"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supporting meaningful inclusion of Māori in governance groups, honouring Te Tiriti o Waitangi and reducing barriers to improve outcomes for Māori and tāngata whaikaha (people with disabilities).</w:t>
      </w:r>
    </w:p>
    <w:p w14:paraId="48830FDD" w14:textId="77777777" w:rsidR="00771DDE"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Service performance was monitored and reviewed at planned intervals. The clinical governance structure in place is appropriate to the size and complexity of the services provided.</w:t>
      </w:r>
    </w:p>
    <w:p w14:paraId="670478E9" w14:textId="77777777" w:rsidR="00771DDE" w:rsidRPr="00A4268A" w:rsidRDefault="00000000">
      <w:pPr>
        <w:spacing w:before="240" w:line="276" w:lineRule="auto"/>
        <w:rPr>
          <w:rFonts w:eastAsia="Calibri"/>
        </w:rPr>
      </w:pPr>
      <w:r w:rsidRPr="00A4268A">
        <w:rPr>
          <w:rFonts w:eastAsia="Calibri"/>
        </w:rPr>
        <w:t>The quality and risk management systems are focused on improving service delivery and care and these are supported at governance level. Residents and whānau provide regular feedback and staff are involved in quality activities. An integrated approach included collection and analysis of quality improvement data and identified trends that leads to improvements. Actual and potential risks were identified and mitigated.</w:t>
      </w:r>
    </w:p>
    <w:p w14:paraId="319F6481" w14:textId="77777777" w:rsidR="00771DDE" w:rsidRPr="00A4268A" w:rsidRDefault="00000000">
      <w:pPr>
        <w:spacing w:before="240" w:line="276" w:lineRule="auto"/>
        <w:rPr>
          <w:rFonts w:eastAsia="Calibri"/>
        </w:rPr>
      </w:pPr>
      <w:r w:rsidRPr="00A4268A">
        <w:rPr>
          <w:rFonts w:eastAsia="Calibri"/>
        </w:rPr>
        <w:t>The National Adverse Events Reporting Policy was followed, with corrective actions supporting systems learnings. The service complied with statutory and regulatory reporting obligations.</w:t>
      </w:r>
    </w:p>
    <w:p w14:paraId="4ADF64E1" w14:textId="77777777" w:rsidR="00771DDE" w:rsidRPr="00A4268A" w:rsidRDefault="00000000">
      <w:pPr>
        <w:spacing w:before="240" w:line="276" w:lineRule="auto"/>
        <w:rPr>
          <w:rFonts w:eastAsia="Calibri"/>
        </w:rPr>
      </w:pPr>
      <w:r w:rsidRPr="00A4268A">
        <w:rPr>
          <w:rFonts w:eastAsia="Calibri"/>
        </w:rPr>
        <w:t>Staff are appointed, orientated and managed using current good practice. Staff were suitably skilled and experienced. Staffing levels were sufficient to provide clinically and culturally appropriate care. A systematic approach to identify and deliver ongoing learning supports safe and equitable service delivery. Staff performance was monitored.</w:t>
      </w:r>
    </w:p>
    <w:bookmarkEnd w:id="19"/>
    <w:p w14:paraId="772DF888" w14:textId="77777777" w:rsidR="00771DDE" w:rsidRPr="00A4268A" w:rsidRDefault="00771DDE">
      <w:pPr>
        <w:spacing w:before="240" w:line="276" w:lineRule="auto"/>
        <w:rPr>
          <w:rFonts w:eastAsia="Calibri"/>
        </w:rPr>
      </w:pPr>
    </w:p>
    <w:p w14:paraId="39A46FB8"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DDE" w14:paraId="166C5E5F" w14:textId="77777777" w:rsidTr="00A4268A">
        <w:trPr>
          <w:cantSplit/>
        </w:trPr>
        <w:tc>
          <w:tcPr>
            <w:tcW w:w="10206" w:type="dxa"/>
            <w:vAlign w:val="center"/>
          </w:tcPr>
          <w:p w14:paraId="745EB87D"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0D87AA9"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BE68AEC"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566D25CC"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When residents were admitted to Metlifecare Palmerston North, a person-centred and whānau-centred approach was adopted. Relevant information was provided to the potential resident and their whānau.</w:t>
      </w:r>
    </w:p>
    <w:p w14:paraId="344FE14C" w14:textId="77777777" w:rsidR="00771DDE" w:rsidRPr="00A4268A" w:rsidRDefault="00000000" w:rsidP="00621629">
      <w:pPr>
        <w:spacing w:before="240" w:line="276" w:lineRule="auto"/>
        <w:rPr>
          <w:rFonts w:eastAsia="Calibri"/>
        </w:rPr>
      </w:pPr>
      <w:r w:rsidRPr="00A4268A">
        <w:rPr>
          <w:rFonts w:eastAsia="Calibri"/>
        </w:rPr>
        <w:t>The service worked in partnership with the residents and their whānau to assess, plan and evaluate care. Care plans were individualised, based on comprehensive information, and accommodate any recent problems that might arise. Files reviewed demonstrated that care met the needs of residents and their whānau and that these were evaluated on a regular and timely basis.</w:t>
      </w:r>
    </w:p>
    <w:p w14:paraId="7782E072" w14:textId="77777777" w:rsidR="00771DDE"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w:t>
      </w:r>
    </w:p>
    <w:p w14:paraId="72E96C53" w14:textId="77777777" w:rsidR="00771DDE" w:rsidRPr="00A4268A" w:rsidRDefault="00000000"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w:t>
      </w:r>
    </w:p>
    <w:p w14:paraId="7FED902E" w14:textId="77777777" w:rsidR="00771DDE" w:rsidRPr="00A4268A" w:rsidRDefault="00000000"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57C1216E" w14:textId="77777777" w:rsidR="00771DDE" w:rsidRPr="00A4268A" w:rsidRDefault="00771DDE" w:rsidP="00621629">
      <w:pPr>
        <w:spacing w:before="240" w:line="276" w:lineRule="auto"/>
        <w:rPr>
          <w:rFonts w:eastAsia="Calibri"/>
        </w:rPr>
      </w:pPr>
    </w:p>
    <w:p w14:paraId="272C6862"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DDE" w14:paraId="5DE98D33" w14:textId="77777777" w:rsidTr="00A4268A">
        <w:trPr>
          <w:cantSplit/>
        </w:trPr>
        <w:tc>
          <w:tcPr>
            <w:tcW w:w="10206" w:type="dxa"/>
            <w:vAlign w:val="center"/>
          </w:tcPr>
          <w:p w14:paraId="6DAD2EE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7ED0958"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B8C3C13"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63DAD7BC" w14:textId="77777777" w:rsidR="00460D43" w:rsidRDefault="00000000">
      <w:pPr>
        <w:spacing w:before="240" w:line="276" w:lineRule="auto"/>
        <w:rPr>
          <w:rFonts w:eastAsia="Calibri"/>
        </w:rPr>
      </w:pPr>
      <w:bookmarkStart w:id="25" w:name="SafeAndAppropriateEnvironment"/>
      <w:r w:rsidRPr="00A4268A">
        <w:rPr>
          <w:rFonts w:eastAsia="Calibri"/>
        </w:rPr>
        <w:t>The facility met the needs of residents and was clean and well maintained. There was a current building warrant of fitness, issued after the previous audit. Electrical and biomedical equipment has been checked and assessed as required. External areas are accessible, safe, provide shade and seating, and met the needs of residents, including tāngata whaikaha.</w:t>
      </w:r>
    </w:p>
    <w:p w14:paraId="5D932AF3" w14:textId="77777777" w:rsidR="00771DDE" w:rsidRPr="00A4268A" w:rsidRDefault="00000000">
      <w:pPr>
        <w:spacing w:before="240" w:line="276" w:lineRule="auto"/>
        <w:rPr>
          <w:rFonts w:eastAsia="Calibri"/>
        </w:rPr>
      </w:pPr>
      <w:r w:rsidRPr="00A4268A">
        <w:rPr>
          <w:rFonts w:eastAsia="Calibri"/>
        </w:rPr>
        <w:lastRenderedPageBreak/>
        <w:t>Since the previous certification audit, 17 of the care suites have been reconfigured to provide dual purpose (rest home and hospital) services from rest home only.</w:t>
      </w:r>
    </w:p>
    <w:bookmarkEnd w:id="25"/>
    <w:p w14:paraId="71E39C71" w14:textId="77777777" w:rsidR="00771DDE" w:rsidRPr="00A4268A" w:rsidRDefault="00771DDE">
      <w:pPr>
        <w:spacing w:before="240" w:line="276" w:lineRule="auto"/>
        <w:rPr>
          <w:rFonts w:eastAsia="Calibri"/>
        </w:rPr>
      </w:pPr>
    </w:p>
    <w:p w14:paraId="43F59808"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DDE" w14:paraId="70EB08E5" w14:textId="77777777" w:rsidTr="00A4268A">
        <w:trPr>
          <w:cantSplit/>
        </w:trPr>
        <w:tc>
          <w:tcPr>
            <w:tcW w:w="10206" w:type="dxa"/>
            <w:vAlign w:val="center"/>
          </w:tcPr>
          <w:p w14:paraId="3FD643D9"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9F5A69D"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0059328"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3C12F35" w14:textId="77777777" w:rsidR="00460D43" w:rsidRDefault="00000000">
      <w:pPr>
        <w:spacing w:before="240" w:line="276" w:lineRule="auto"/>
        <w:rPr>
          <w:rFonts w:eastAsia="Calibri"/>
        </w:rPr>
      </w:pPr>
      <w:bookmarkStart w:id="28" w:name="RestraintMinimisationAndSafePractice"/>
      <w:r w:rsidRPr="00A4268A">
        <w:rPr>
          <w:rFonts w:eastAsia="Calibri"/>
        </w:rPr>
        <w:t>The governing body, national infection control lead, and the infection control nurse at Metlifecare Palmerston North ensured the safety of residents and staff through a planned infection prevention and antimicrobial stewardship programme that was appropriate to the size and complexity of the service. It was adequately resourced. The experienced and trained infection control nurse led the programme and was engaged in procurement processes.</w:t>
      </w:r>
    </w:p>
    <w:p w14:paraId="253CC8D1" w14:textId="77777777" w:rsidR="00771DDE" w:rsidRPr="00A4268A" w:rsidRDefault="00000000">
      <w:pPr>
        <w:spacing w:before="240" w:line="276" w:lineRule="auto"/>
        <w:rPr>
          <w:rFonts w:eastAsia="Calibri"/>
        </w:rPr>
      </w:pPr>
      <w:r w:rsidRPr="00A4268A">
        <w:rPr>
          <w:rFonts w:eastAsia="Calibri"/>
        </w:rPr>
        <w:t>Aged care-specific infection surveillance was undertaken with follow-up action taken as required. Surveillance of infections was undertaken, and results were monitored and shared with the organisation’s management and staff. Action plans were implemented as and when required.</w:t>
      </w:r>
    </w:p>
    <w:bookmarkEnd w:id="28"/>
    <w:p w14:paraId="27F0B51F" w14:textId="77777777" w:rsidR="00771DDE" w:rsidRPr="00A4268A" w:rsidRDefault="00771DDE">
      <w:pPr>
        <w:spacing w:before="240" w:line="276" w:lineRule="auto"/>
        <w:rPr>
          <w:rFonts w:eastAsia="Calibri"/>
        </w:rPr>
      </w:pPr>
    </w:p>
    <w:p w14:paraId="58612CC5"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71DDE" w14:paraId="3AAB0CB9" w14:textId="77777777" w:rsidTr="00A4268A">
        <w:trPr>
          <w:cantSplit/>
        </w:trPr>
        <w:tc>
          <w:tcPr>
            <w:tcW w:w="10206" w:type="dxa"/>
            <w:vAlign w:val="center"/>
          </w:tcPr>
          <w:p w14:paraId="22FF587C"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8F25B7F"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4ACF7CB"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F13F736" w14:textId="77777777" w:rsidR="00460D43" w:rsidRDefault="00000000">
      <w:pPr>
        <w:spacing w:before="240" w:line="276" w:lineRule="auto"/>
        <w:rPr>
          <w:rFonts w:eastAsia="Calibri"/>
        </w:rPr>
      </w:pPr>
      <w:bookmarkStart w:id="31" w:name="InfectionPreventionAndControl"/>
      <w:r w:rsidRPr="00A4268A">
        <w:rPr>
          <w:rFonts w:eastAsia="Calibri"/>
        </w:rPr>
        <w:lastRenderedPageBreak/>
        <w:t>The service is a restraint-free environment. This is supported by the governing body and policies and procedures. There were no residents using restraint at the time of audit. A comprehensive assessment, approval, and monitoring process, with regular reviews, was in place should restraint use be required in the future. A suitably qualified restraint coordinator who is a registered nurse manages the process. Staff have received education on least restrictive practice, safe practice, the use of restraint, alternative cultural-specific interventions, de-escalation techniques, and restraint monitoring.</w:t>
      </w:r>
    </w:p>
    <w:bookmarkEnd w:id="31"/>
    <w:p w14:paraId="4BFFC2EF" w14:textId="77777777" w:rsidR="00771DDE" w:rsidRPr="00A4268A" w:rsidRDefault="00771DDE">
      <w:pPr>
        <w:spacing w:before="240" w:line="276" w:lineRule="auto"/>
        <w:rPr>
          <w:rFonts w:eastAsia="Calibri"/>
        </w:rPr>
      </w:pPr>
    </w:p>
    <w:p w14:paraId="2DE62F61" w14:textId="77777777" w:rsidR="00460D43" w:rsidRDefault="00000000" w:rsidP="000E6E02">
      <w:pPr>
        <w:pStyle w:val="Heading2"/>
        <w:spacing w:before="0"/>
        <w:rPr>
          <w:rFonts w:cs="Arial"/>
        </w:rPr>
      </w:pPr>
      <w:r>
        <w:rPr>
          <w:rFonts w:cs="Arial"/>
        </w:rPr>
        <w:t>Summary of attainment</w:t>
      </w:r>
    </w:p>
    <w:p w14:paraId="72B46CEF"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71DDE" w14:paraId="00BBA7F6" w14:textId="77777777">
        <w:tc>
          <w:tcPr>
            <w:tcW w:w="1384" w:type="dxa"/>
            <w:vAlign w:val="center"/>
          </w:tcPr>
          <w:p w14:paraId="0EC3FEB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00F8FEB" w14:textId="77777777" w:rsidR="00460D43" w:rsidRDefault="00000000">
            <w:pPr>
              <w:keepNext/>
              <w:spacing w:before="60" w:after="60"/>
              <w:jc w:val="center"/>
              <w:rPr>
                <w:rFonts w:cs="Arial"/>
                <w:b/>
                <w:sz w:val="20"/>
                <w:szCs w:val="20"/>
              </w:rPr>
            </w:pPr>
            <w:r>
              <w:rPr>
                <w:rFonts w:cs="Arial"/>
                <w:b/>
                <w:sz w:val="20"/>
                <w:szCs w:val="20"/>
              </w:rPr>
              <w:t>Continuous Improvement</w:t>
            </w:r>
          </w:p>
          <w:p w14:paraId="4010F141"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5041E02" w14:textId="77777777" w:rsidR="00460D43" w:rsidRDefault="00000000">
            <w:pPr>
              <w:keepNext/>
              <w:spacing w:before="60" w:after="60"/>
              <w:jc w:val="center"/>
              <w:rPr>
                <w:rFonts w:cs="Arial"/>
                <w:b/>
                <w:sz w:val="20"/>
                <w:szCs w:val="20"/>
              </w:rPr>
            </w:pPr>
            <w:r>
              <w:rPr>
                <w:rFonts w:cs="Arial"/>
                <w:b/>
                <w:sz w:val="20"/>
                <w:szCs w:val="20"/>
              </w:rPr>
              <w:t>Fully Attained</w:t>
            </w:r>
          </w:p>
          <w:p w14:paraId="6A0012EF"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FE33D5B"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6BB5A06D"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1D863AB"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5746A84"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E272A2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F89496C"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0D2AF0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D9207BF"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640008E"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0622894" w14:textId="77777777" w:rsidR="00460D43" w:rsidRDefault="00000000">
            <w:pPr>
              <w:keepNext/>
              <w:spacing w:before="60" w:after="60"/>
              <w:jc w:val="center"/>
              <w:rPr>
                <w:rFonts w:cs="Arial"/>
                <w:b/>
                <w:sz w:val="20"/>
                <w:szCs w:val="20"/>
              </w:rPr>
            </w:pPr>
            <w:r>
              <w:rPr>
                <w:rFonts w:cs="Arial"/>
                <w:b/>
                <w:sz w:val="20"/>
                <w:szCs w:val="20"/>
              </w:rPr>
              <w:t>(PA Critical)</w:t>
            </w:r>
          </w:p>
        </w:tc>
      </w:tr>
      <w:tr w:rsidR="00771DDE" w14:paraId="5F57A93D" w14:textId="77777777">
        <w:tc>
          <w:tcPr>
            <w:tcW w:w="1384" w:type="dxa"/>
            <w:vAlign w:val="center"/>
          </w:tcPr>
          <w:p w14:paraId="3A2734F3"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0D272B0B"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2AAFEFE"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65052060"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0B7F55E"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C4CDF9A"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C2B0996"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A1B960A"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71DDE" w14:paraId="45259194" w14:textId="77777777">
        <w:tc>
          <w:tcPr>
            <w:tcW w:w="1384" w:type="dxa"/>
            <w:vAlign w:val="center"/>
          </w:tcPr>
          <w:p w14:paraId="41047E6C"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472D956"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508ABDC"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58B5D4D0"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2B20AC0"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35343C4"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C5B6BC6"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A428643"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D4EC16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71DDE" w14:paraId="343EA3FC" w14:textId="77777777">
        <w:tc>
          <w:tcPr>
            <w:tcW w:w="1384" w:type="dxa"/>
            <w:vAlign w:val="center"/>
          </w:tcPr>
          <w:p w14:paraId="615EF9DD"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3A484E1" w14:textId="77777777" w:rsidR="00460D43" w:rsidRDefault="00000000">
            <w:pPr>
              <w:keepNext/>
              <w:spacing w:before="60" w:after="60"/>
              <w:jc w:val="center"/>
              <w:rPr>
                <w:rFonts w:cs="Arial"/>
                <w:b/>
                <w:sz w:val="20"/>
                <w:szCs w:val="20"/>
              </w:rPr>
            </w:pPr>
            <w:r>
              <w:rPr>
                <w:rFonts w:cs="Arial"/>
                <w:b/>
                <w:sz w:val="20"/>
                <w:szCs w:val="20"/>
              </w:rPr>
              <w:t>Unattained Negligible Risk</w:t>
            </w:r>
          </w:p>
          <w:p w14:paraId="298A6D4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3E8FFA57" w14:textId="77777777" w:rsidR="00460D43" w:rsidRDefault="00000000">
            <w:pPr>
              <w:keepNext/>
              <w:spacing w:before="60" w:after="60"/>
              <w:jc w:val="center"/>
              <w:rPr>
                <w:rFonts w:cs="Arial"/>
                <w:b/>
                <w:sz w:val="20"/>
                <w:szCs w:val="20"/>
              </w:rPr>
            </w:pPr>
            <w:r>
              <w:rPr>
                <w:rFonts w:cs="Arial"/>
                <w:b/>
                <w:sz w:val="20"/>
                <w:szCs w:val="20"/>
              </w:rPr>
              <w:t>Unattained Low Risk</w:t>
            </w:r>
          </w:p>
          <w:p w14:paraId="3483AD81"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AA3F5CC" w14:textId="77777777" w:rsidR="00460D43" w:rsidRDefault="00000000">
            <w:pPr>
              <w:keepNext/>
              <w:spacing w:before="60" w:after="60"/>
              <w:jc w:val="center"/>
              <w:rPr>
                <w:rFonts w:cs="Arial"/>
                <w:b/>
                <w:sz w:val="20"/>
                <w:szCs w:val="20"/>
              </w:rPr>
            </w:pPr>
            <w:r>
              <w:rPr>
                <w:rFonts w:cs="Arial"/>
                <w:b/>
                <w:sz w:val="20"/>
                <w:szCs w:val="20"/>
              </w:rPr>
              <w:t>Unattained Moderate Risk</w:t>
            </w:r>
          </w:p>
          <w:p w14:paraId="3F1954F9"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9DDA155" w14:textId="77777777" w:rsidR="00460D43" w:rsidRDefault="00000000">
            <w:pPr>
              <w:keepNext/>
              <w:spacing w:before="60" w:after="60"/>
              <w:jc w:val="center"/>
              <w:rPr>
                <w:rFonts w:cs="Arial"/>
                <w:b/>
                <w:sz w:val="20"/>
                <w:szCs w:val="20"/>
              </w:rPr>
            </w:pPr>
            <w:r>
              <w:rPr>
                <w:rFonts w:cs="Arial"/>
                <w:b/>
                <w:sz w:val="20"/>
                <w:szCs w:val="20"/>
              </w:rPr>
              <w:t>Unattained High Risk</w:t>
            </w:r>
          </w:p>
          <w:p w14:paraId="568321A7"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FAEF375" w14:textId="77777777" w:rsidR="00460D43" w:rsidRDefault="00000000">
            <w:pPr>
              <w:keepNext/>
              <w:spacing w:before="60" w:after="60"/>
              <w:jc w:val="center"/>
              <w:rPr>
                <w:rFonts w:cs="Arial"/>
                <w:b/>
                <w:sz w:val="20"/>
                <w:szCs w:val="20"/>
              </w:rPr>
            </w:pPr>
            <w:r>
              <w:rPr>
                <w:rFonts w:cs="Arial"/>
                <w:b/>
                <w:sz w:val="20"/>
                <w:szCs w:val="20"/>
              </w:rPr>
              <w:t>Unattained Critical Risk</w:t>
            </w:r>
          </w:p>
          <w:p w14:paraId="75BED001" w14:textId="77777777" w:rsidR="00460D43" w:rsidRDefault="00000000">
            <w:pPr>
              <w:keepNext/>
              <w:spacing w:before="60" w:after="60"/>
              <w:jc w:val="center"/>
              <w:rPr>
                <w:rFonts w:cs="Arial"/>
                <w:b/>
                <w:sz w:val="20"/>
                <w:szCs w:val="20"/>
              </w:rPr>
            </w:pPr>
            <w:r>
              <w:rPr>
                <w:rFonts w:cs="Arial"/>
                <w:b/>
                <w:sz w:val="20"/>
                <w:szCs w:val="20"/>
              </w:rPr>
              <w:t>(UA Critical)</w:t>
            </w:r>
          </w:p>
        </w:tc>
      </w:tr>
      <w:tr w:rsidR="00771DDE" w14:paraId="42D12186" w14:textId="77777777">
        <w:tc>
          <w:tcPr>
            <w:tcW w:w="1384" w:type="dxa"/>
            <w:vAlign w:val="center"/>
          </w:tcPr>
          <w:p w14:paraId="6225CA7E"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ED63CB5"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BE3CC09"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D175EC5"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49B7BD1"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E9C902"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71DDE" w14:paraId="1F76D2FA" w14:textId="77777777">
        <w:tc>
          <w:tcPr>
            <w:tcW w:w="1384" w:type="dxa"/>
            <w:vAlign w:val="center"/>
          </w:tcPr>
          <w:p w14:paraId="6BFFFCAD"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68D615F"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8DD6257"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0125B8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B4D2AAC"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A6AD4E9"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C887C9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B216AE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C0FE26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86DA798"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374"/>
        <w:gridCol w:w="6761"/>
      </w:tblGrid>
      <w:tr w:rsidR="00771DDE" w14:paraId="7AD1261A" w14:textId="77777777">
        <w:tc>
          <w:tcPr>
            <w:tcW w:w="0" w:type="auto"/>
          </w:tcPr>
          <w:p w14:paraId="11C336B5"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91671FC"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1F74D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771DDE" w14:paraId="4A85B768" w14:textId="77777777">
        <w:tc>
          <w:tcPr>
            <w:tcW w:w="0" w:type="auto"/>
          </w:tcPr>
          <w:p w14:paraId="44AFABC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25DE6B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768796F" w14:textId="77777777" w:rsidR="00EB7645" w:rsidRPr="00BE00C7" w:rsidRDefault="00000000" w:rsidP="00BE00C7">
            <w:pPr>
              <w:pStyle w:val="OutcomeDescription"/>
              <w:spacing w:before="120" w:after="120"/>
              <w:rPr>
                <w:rFonts w:cs="Arial"/>
                <w:lang w:eastAsia="en-NZ"/>
              </w:rPr>
            </w:pPr>
          </w:p>
        </w:tc>
        <w:tc>
          <w:tcPr>
            <w:tcW w:w="0" w:type="auto"/>
          </w:tcPr>
          <w:p w14:paraId="4E075C5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6E0DE3"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Palmerston North (MLC Palmerston North) has developed policies, procedures, and processes to embed and enact Te Tiriti o Waitangi in all aspects of its work. This is reflected in its documented values. A Māori health plan has been developed with input from cultural advisers and this can be used for residents who identify as Māori. The whare tapa whā model of care, outlined in the plan, is a holistic model which can be used for both Māori and non-Māori residents. There were no Māori residents in the facility during the audit. Mana motuhake (self-determination) is respected for all residents, and this was confirmed through interviews with residents and their whānau.</w:t>
            </w:r>
          </w:p>
          <w:p w14:paraId="18176B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links for Māori health support through Te Whatu Ora – Health New Zealand Te Pae Hauora o Ruahine o Tararua MidCentral (Te Whatu Ora MidCentral), and other tāngata and (local) mana whenua organisations and can access kaumātua as required.</w:t>
            </w:r>
          </w:p>
          <w:p w14:paraId="557A290D" w14:textId="77777777" w:rsidR="00EB7645" w:rsidRPr="00BE00C7" w:rsidRDefault="00000000" w:rsidP="00BE00C7">
            <w:pPr>
              <w:pStyle w:val="OutcomeDescription"/>
              <w:spacing w:before="120" w:after="120"/>
              <w:rPr>
                <w:rFonts w:cs="Arial"/>
                <w:lang w:eastAsia="en-NZ"/>
              </w:rPr>
            </w:pPr>
          </w:p>
        </w:tc>
      </w:tr>
      <w:tr w:rsidR="00771DDE" w14:paraId="3E90A2F5" w14:textId="77777777">
        <w:tc>
          <w:tcPr>
            <w:tcW w:w="0" w:type="auto"/>
          </w:tcPr>
          <w:p w14:paraId="06D9E8E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0C88A6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872A33A" w14:textId="77777777" w:rsidR="00EB7645" w:rsidRPr="00BE00C7" w:rsidRDefault="00000000" w:rsidP="00BE00C7">
            <w:pPr>
              <w:pStyle w:val="OutcomeDescription"/>
              <w:spacing w:before="120" w:after="120"/>
              <w:rPr>
                <w:rFonts w:cs="Arial"/>
                <w:lang w:eastAsia="en-NZ"/>
              </w:rPr>
            </w:pPr>
          </w:p>
        </w:tc>
        <w:tc>
          <w:tcPr>
            <w:tcW w:w="0" w:type="auto"/>
          </w:tcPr>
          <w:p w14:paraId="40ECD43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89539C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Metlifecare Palmerston North identifies and works in partnership with Pacific communities. There is a Pacific health plan to address appropriate care and equity for Pacific peoples and to support culturally safe practices. Interview with the organisation’s managers and governance </w:t>
            </w:r>
            <w:r w:rsidRPr="00BE00C7">
              <w:rPr>
                <w:rFonts w:cs="Arial"/>
                <w:lang w:eastAsia="en-NZ"/>
              </w:rPr>
              <w:lastRenderedPageBreak/>
              <w:t>representative confirmed that they are aware of their responsibility to support equity for Pacific peoples.</w:t>
            </w:r>
          </w:p>
          <w:p w14:paraId="6FD5BF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residents of Pasifika descent receiving care at the time of audit. The facility utilises either Te Vaka Atafaga or the Fonafale model of care depending on the model most appropriate for the individual, at their choice. Processes are in place to ensure the cultural and spiritual beliefs of Pasifika are embraced. There is support available for any Pasifika residents through local Pasifika organisations.</w:t>
            </w:r>
          </w:p>
          <w:p w14:paraId="76127E9F" w14:textId="77777777" w:rsidR="00EB7645" w:rsidRPr="00BE00C7" w:rsidRDefault="00000000" w:rsidP="00BE00C7">
            <w:pPr>
              <w:pStyle w:val="OutcomeDescription"/>
              <w:spacing w:before="120" w:after="120"/>
              <w:rPr>
                <w:rFonts w:cs="Arial"/>
                <w:lang w:eastAsia="en-NZ"/>
              </w:rPr>
            </w:pPr>
          </w:p>
        </w:tc>
      </w:tr>
      <w:tr w:rsidR="00771DDE" w14:paraId="6F5E656D" w14:textId="77777777">
        <w:tc>
          <w:tcPr>
            <w:tcW w:w="0" w:type="auto"/>
          </w:tcPr>
          <w:p w14:paraId="4DC85AF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A564D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BEA37A5" w14:textId="77777777" w:rsidR="00EB7645" w:rsidRPr="00BE00C7" w:rsidRDefault="00000000" w:rsidP="00BE00C7">
            <w:pPr>
              <w:pStyle w:val="OutcomeDescription"/>
              <w:spacing w:before="120" w:after="120"/>
              <w:rPr>
                <w:rFonts w:cs="Arial"/>
                <w:lang w:eastAsia="en-NZ"/>
              </w:rPr>
            </w:pPr>
          </w:p>
        </w:tc>
        <w:tc>
          <w:tcPr>
            <w:tcW w:w="0" w:type="auto"/>
          </w:tcPr>
          <w:p w14:paraId="6365A6D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BE16D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 Evidence was sighted of staff training on the Code in 2023. The Code was displayed in English, te reo Māori and New Zealand Sign Language (NZSL) throughout the facility. Opportunity for discussion and clarification of residents’ rights was facilitated, as evidenced by interviews, observations, and resident meeting minutes. At each residents’ meeting one ‘Right’ from the Code was discussed.</w:t>
            </w:r>
          </w:p>
          <w:p w14:paraId="107E16D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Posters on the service were visible around the facility.</w:t>
            </w:r>
          </w:p>
          <w:p w14:paraId="503DD698" w14:textId="77777777" w:rsidR="00EB7645" w:rsidRPr="00BE00C7" w:rsidRDefault="00000000" w:rsidP="00BE00C7">
            <w:pPr>
              <w:pStyle w:val="OutcomeDescription"/>
              <w:spacing w:before="120" w:after="120"/>
              <w:rPr>
                <w:rFonts w:cs="Arial"/>
                <w:lang w:eastAsia="en-NZ"/>
              </w:rPr>
            </w:pPr>
          </w:p>
        </w:tc>
      </w:tr>
      <w:tr w:rsidR="00771DDE" w14:paraId="0298F814" w14:textId="77777777">
        <w:tc>
          <w:tcPr>
            <w:tcW w:w="0" w:type="auto"/>
          </w:tcPr>
          <w:p w14:paraId="1365E92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47AD6B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2FF4FFF" w14:textId="77777777" w:rsidR="00EB7645" w:rsidRPr="00BE00C7" w:rsidRDefault="00000000" w:rsidP="00BE00C7">
            <w:pPr>
              <w:pStyle w:val="OutcomeDescription"/>
              <w:spacing w:before="120" w:after="120"/>
              <w:rPr>
                <w:rFonts w:cs="Arial"/>
                <w:lang w:eastAsia="en-NZ"/>
              </w:rPr>
            </w:pPr>
          </w:p>
        </w:tc>
        <w:tc>
          <w:tcPr>
            <w:tcW w:w="0" w:type="auto"/>
          </w:tcPr>
          <w:p w14:paraId="77ACDF3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FB8124" w14:textId="77777777" w:rsidR="00EB7645" w:rsidRPr="00BE00C7" w:rsidRDefault="00000000" w:rsidP="00BE00C7">
            <w:pPr>
              <w:pStyle w:val="OutcomeDescription"/>
              <w:spacing w:before="120" w:after="120"/>
              <w:rPr>
                <w:rFonts w:cs="Arial"/>
                <w:lang w:eastAsia="en-NZ"/>
              </w:rPr>
            </w:pPr>
            <w:r w:rsidRPr="00BE00C7">
              <w:rPr>
                <w:rFonts w:cs="Arial"/>
                <w:lang w:eastAsia="en-NZ"/>
              </w:rPr>
              <w:t>Employment practices at MLC Palmerston North included reference checking and police vetting. Policies and procedures outlined safeguards in place to protect people from discrimination, coercion, harassment, physical, sexual, or other exploitation, abuse, or neglect. Workers followed a code of conduct.</w:t>
            </w:r>
          </w:p>
          <w:p w14:paraId="74962535"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practice. Residents reported that their property was respected, and finances protected. Professional boundaries were maintained.</w:t>
            </w:r>
          </w:p>
          <w:p w14:paraId="3F1E48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Eight residents and five whānau members interviewed expressed satisfaction with the services provided at MLC Palmerston North. One resident made a comment regarding doors banging at night. This was noted to have been mentioned at two previous residents’ meetings. The NM has ordered equipment to enable soft door closing to occur.</w:t>
            </w:r>
          </w:p>
          <w:p w14:paraId="07BD41FB" w14:textId="77777777" w:rsidR="00EB7645" w:rsidRPr="00BE00C7" w:rsidRDefault="00000000" w:rsidP="00BE00C7">
            <w:pPr>
              <w:pStyle w:val="OutcomeDescription"/>
              <w:spacing w:before="120" w:after="120"/>
              <w:rPr>
                <w:rFonts w:cs="Arial"/>
                <w:lang w:eastAsia="en-NZ"/>
              </w:rPr>
            </w:pPr>
          </w:p>
        </w:tc>
      </w:tr>
      <w:tr w:rsidR="00771DDE" w14:paraId="3FDF2617" w14:textId="77777777">
        <w:tc>
          <w:tcPr>
            <w:tcW w:w="0" w:type="auto"/>
          </w:tcPr>
          <w:p w14:paraId="4171CC1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5AF6A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5908B16" w14:textId="77777777" w:rsidR="00EB7645" w:rsidRPr="00BE00C7" w:rsidRDefault="00000000" w:rsidP="00BE00C7">
            <w:pPr>
              <w:pStyle w:val="OutcomeDescription"/>
              <w:spacing w:before="120" w:after="120"/>
              <w:rPr>
                <w:rFonts w:cs="Arial"/>
                <w:lang w:eastAsia="en-NZ"/>
              </w:rPr>
            </w:pPr>
          </w:p>
        </w:tc>
        <w:tc>
          <w:tcPr>
            <w:tcW w:w="0" w:type="auto"/>
          </w:tcPr>
          <w:p w14:paraId="4534BD4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4D66F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at MLC Palmerston North and/or their whānau or legal representatives were provided with the information necessary to make informed decisions. They felt empowered to actively participate in decision-making. The nursing and care staff interviewed understood the principles and practice of informed consent.</w:t>
            </w:r>
          </w:p>
          <w:p w14:paraId="1B73F157" w14:textId="77777777" w:rsidR="00EB7645"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(EPOA) requirements and processes for residents unable to consent were documented, as relevant, in the resident’s record.</w:t>
            </w:r>
          </w:p>
          <w:p w14:paraId="49FE67C1" w14:textId="77777777" w:rsidR="00EB7645" w:rsidRPr="00BE00C7" w:rsidRDefault="00000000" w:rsidP="00BE00C7">
            <w:pPr>
              <w:pStyle w:val="OutcomeDescription"/>
              <w:spacing w:before="120" w:after="120"/>
              <w:rPr>
                <w:rFonts w:cs="Arial"/>
                <w:lang w:eastAsia="en-NZ"/>
              </w:rPr>
            </w:pPr>
          </w:p>
        </w:tc>
      </w:tr>
      <w:tr w:rsidR="00771DDE" w14:paraId="33709C87" w14:textId="77777777">
        <w:tc>
          <w:tcPr>
            <w:tcW w:w="0" w:type="auto"/>
          </w:tcPr>
          <w:p w14:paraId="6EC5051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760264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EAA62F7" w14:textId="77777777" w:rsidR="00EB7645" w:rsidRPr="00BE00C7" w:rsidRDefault="00000000" w:rsidP="00BE00C7">
            <w:pPr>
              <w:pStyle w:val="OutcomeDescription"/>
              <w:spacing w:before="120" w:after="120"/>
              <w:rPr>
                <w:rFonts w:cs="Arial"/>
                <w:lang w:eastAsia="en-NZ"/>
              </w:rPr>
            </w:pPr>
          </w:p>
        </w:tc>
        <w:tc>
          <w:tcPr>
            <w:tcW w:w="0" w:type="auto"/>
          </w:tcPr>
          <w:p w14:paraId="49A3756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DB9177"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686839AD"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and whānau understood their right to make a complaint and knew how to do so. Documentation sighted for four complaints received in the last 12 months showed that the complaints had been addressed in a timely manner and that the complainants had been informed of the outcome of their complaint.</w:t>
            </w:r>
          </w:p>
          <w:p w14:paraId="01798B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Māori residents in the service; however, there are processes in place to ensure complaints from Māori are managed in a culturally appropriate way (e.g., through the use of culturally appropriate </w:t>
            </w:r>
            <w:r w:rsidRPr="00BE00C7">
              <w:rPr>
                <w:rFonts w:cs="Arial"/>
                <w:lang w:eastAsia="en-NZ"/>
              </w:rPr>
              <w:lastRenderedPageBreak/>
              <w:t>support, hui, and tikanga practices specific to the resident or the complainant).</w:t>
            </w:r>
          </w:p>
          <w:p w14:paraId="2EEC45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complaints received from external sources (e.g., the Health and Disability Commissioner, Te Whatu Ora) since the previous certification audit.</w:t>
            </w:r>
          </w:p>
          <w:p w14:paraId="39274AE2" w14:textId="77777777" w:rsidR="00EB7645" w:rsidRPr="00BE00C7" w:rsidRDefault="00000000" w:rsidP="00BE00C7">
            <w:pPr>
              <w:pStyle w:val="OutcomeDescription"/>
              <w:spacing w:before="120" w:after="120"/>
              <w:rPr>
                <w:rFonts w:cs="Arial"/>
                <w:lang w:eastAsia="en-NZ"/>
              </w:rPr>
            </w:pPr>
          </w:p>
        </w:tc>
      </w:tr>
      <w:tr w:rsidR="00771DDE" w14:paraId="4A664A24" w14:textId="77777777">
        <w:tc>
          <w:tcPr>
            <w:tcW w:w="0" w:type="auto"/>
          </w:tcPr>
          <w:p w14:paraId="0231AFB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72F2D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7ED1F5B" w14:textId="77777777" w:rsidR="00EB7645" w:rsidRPr="00BE00C7" w:rsidRDefault="00000000" w:rsidP="00BE00C7">
            <w:pPr>
              <w:pStyle w:val="OutcomeDescription"/>
              <w:spacing w:before="120" w:after="120"/>
              <w:rPr>
                <w:rFonts w:cs="Arial"/>
                <w:lang w:eastAsia="en-NZ"/>
              </w:rPr>
            </w:pPr>
          </w:p>
        </w:tc>
        <w:tc>
          <w:tcPr>
            <w:tcW w:w="0" w:type="auto"/>
          </w:tcPr>
          <w:p w14:paraId="5ED8E89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5F862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 supporting meaningful inclusion of Māori and Pasifika in governance groups, honouring Te Tiriti o Waitangi and being focused on improving outcomes for Māori, Pasifika, and tāngata whaikaha. Metlifecare has a legal team who monitor changes to legislative and clinical requirements and have access to domestic and international legal advice. Information garnered from these sources translates into strategic and business documents, and into policy and procedure.</w:t>
            </w:r>
          </w:p>
          <w:p w14:paraId="65AA60D4"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has a strategic plan in place which outlines the organisation’s structure, purpose, values, scope, direction, performance and goals and this is in use at MLC Palmerston North. The plan supports equitable outcomes for Māori, Pasifika and tāngata whaikaha. The Metlifecare reporting structure relies on information from its strategic plan to inform facility-based business plans. A local facility business plan supports the goals for MLC Palmerston North’s services, and cultural safety is embedded in business and quality plans and in staff education. Ethnicity data was being collected and analysed to support equity.</w:t>
            </w:r>
          </w:p>
          <w:p w14:paraId="54519CFA"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is committed to quality and risk via policy, processes and through feedback mechanisms. This includes receiving regular information from each of its care facilities, including MLC Palmerston North. Information from internal data collection (e.g., adverse events, infections and antimicrobial use, complaints, internal audit activities, and restraint use) is aggregated and corrective action (at facility and organisation level as applicable) taken. Feedback is provided to the clinical governance group and to the board. Changes are made to business and/or strategic plans as required.</w:t>
            </w:r>
          </w:p>
          <w:p w14:paraId="59FFF5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Equity for Māori, Pasifika and tāngata whaikaha is addressed through the policy documentation and enabled through choice and control over supports and the removal of barriers that prevent access to information </w:t>
            </w:r>
            <w:r w:rsidRPr="00BE00C7">
              <w:rPr>
                <w:rFonts w:cs="Arial"/>
                <w:lang w:eastAsia="en-NZ"/>
              </w:rPr>
              <w:lastRenderedPageBreak/>
              <w:t>and equipment (e.g., information in other languages for the Code of Rights, complaints, infection prevention and control, and equipment to support mobility). Metlifecare Palmerston North utilises the skills of staff and senior managers and supports them in making sure barriers to equitable service delivery are surmounted.</w:t>
            </w:r>
          </w:p>
          <w:p w14:paraId="4B701DD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governance structure in place is appropriate to the size and complexity of the service. The nurse manager (NM) at MLC Palmerston North confirmed knowledge of the sector, regulatory and reporting requirements, and maintains currency within the field.</w:t>
            </w:r>
          </w:p>
          <w:p w14:paraId="2736BF64" w14:textId="11C80965" w:rsidR="00EB7645"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Midcentral for the provision of age-related residential care (ARRC) services at rest home and hospital level and for short-term (respite) residential care. It also holds cont</w:t>
            </w:r>
            <w:r w:rsidR="0006075A">
              <w:rPr>
                <w:rFonts w:cs="Arial"/>
                <w:lang w:eastAsia="en-NZ"/>
              </w:rPr>
              <w:t>r</w:t>
            </w:r>
            <w:r w:rsidRPr="00BE00C7">
              <w:rPr>
                <w:rFonts w:cs="Arial"/>
                <w:lang w:eastAsia="en-NZ"/>
              </w:rPr>
              <w:t>acts for the provision of long-term support-chronic health conditions (LTS-CHC) services and through the Accident Compensation Corporation (ACC). Forty-eight (48) residents were receiving services at the time of audit. Twenty residents were receiving ARRC rest home services (eight in care suites under ARRC in ORA), 24 hospital level services (three in care suites under ARRC in ORA), two under the respite contract (both rest home level) and two under ACC contracts (one rest home and one hospital). No residents were receiving services under the LTS-CHC contract.</w:t>
            </w:r>
          </w:p>
          <w:p w14:paraId="7A592ED3" w14:textId="77777777" w:rsidR="00EB7645" w:rsidRPr="00BE00C7" w:rsidRDefault="00000000" w:rsidP="00BE00C7">
            <w:pPr>
              <w:pStyle w:val="OutcomeDescription"/>
              <w:spacing w:before="120" w:after="120"/>
              <w:rPr>
                <w:rFonts w:cs="Arial"/>
                <w:lang w:eastAsia="en-NZ"/>
              </w:rPr>
            </w:pPr>
          </w:p>
        </w:tc>
      </w:tr>
      <w:tr w:rsidR="00771DDE" w14:paraId="7AC7ABAB" w14:textId="77777777">
        <w:tc>
          <w:tcPr>
            <w:tcW w:w="0" w:type="auto"/>
          </w:tcPr>
          <w:p w14:paraId="513719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9E2B57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9582EE2" w14:textId="77777777" w:rsidR="00EB7645" w:rsidRPr="00BE00C7" w:rsidRDefault="00000000" w:rsidP="00BE00C7">
            <w:pPr>
              <w:pStyle w:val="OutcomeDescription"/>
              <w:spacing w:before="120" w:after="120"/>
              <w:rPr>
                <w:rFonts w:cs="Arial"/>
                <w:lang w:eastAsia="en-NZ"/>
              </w:rPr>
            </w:pPr>
          </w:p>
        </w:tc>
        <w:tc>
          <w:tcPr>
            <w:tcW w:w="0" w:type="auto"/>
          </w:tcPr>
          <w:p w14:paraId="670B64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23F82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adverse events/hazards (including the monitoring of clinical incidents such as falls, pressure injuries, infections, wounds, and medication errors), compliments and complaints, audit activities, and policies and procedures. Relevant corrective actions were developed and implemented to address any shortfalls. Progress against quality outcomes was evaluated. Quality data was communicated and discussed, and this was confirmed by staff at interview.</w:t>
            </w:r>
          </w:p>
          <w:p w14:paraId="6DF2EB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contractual requirements and were current. Critical analysis of organisational practices to improve health equity was occurring with </w:t>
            </w:r>
            <w:r w:rsidRPr="00BE00C7">
              <w:rPr>
                <w:rFonts w:cs="Arial"/>
                <w:lang w:eastAsia="en-NZ"/>
              </w:rPr>
              <w:lastRenderedPageBreak/>
              <w:t>appropriate follow-up and reporting. A Māori health plan guides care for Māori.</w:t>
            </w:r>
          </w:p>
          <w:p w14:paraId="1B4320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NM interviewed understood the processes for the identification, documentation, monitoring, review, and reporting of risks, including health and safety risks, and development of mitigation strategies. Staff document adverse and near miss events in line with the National Adverse Events Reporting Policy. A sample of incident forms reviewed showed these were fully completed, incidents were investigated, action plans were developed, and any corrective actions followed up in a timely manner.</w:t>
            </w:r>
          </w:p>
          <w:p w14:paraId="793D8D2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NM understood and has complied with essential notification reporting requirements. There were two section 31 notifications completed in 2023 related to a pressure injury and the provision of hospital level services into a rest home bed. Both had been acknowledged by Manatū Hauora. There have been no section 31 notifications in 2024.</w:t>
            </w:r>
          </w:p>
          <w:p w14:paraId="495C737F" w14:textId="77777777" w:rsidR="00EB7645" w:rsidRPr="00BE00C7" w:rsidRDefault="00000000" w:rsidP="00BE00C7">
            <w:pPr>
              <w:pStyle w:val="OutcomeDescription"/>
              <w:spacing w:before="120" w:after="120"/>
              <w:rPr>
                <w:rFonts w:cs="Arial"/>
                <w:lang w:eastAsia="en-NZ"/>
              </w:rPr>
            </w:pPr>
          </w:p>
        </w:tc>
      </w:tr>
      <w:tr w:rsidR="00771DDE" w14:paraId="060535EF" w14:textId="77777777">
        <w:tc>
          <w:tcPr>
            <w:tcW w:w="0" w:type="auto"/>
          </w:tcPr>
          <w:p w14:paraId="5911CB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AC5AF6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CE5DF86" w14:textId="77777777" w:rsidR="00EB7645" w:rsidRPr="00BE00C7" w:rsidRDefault="00000000" w:rsidP="00BE00C7">
            <w:pPr>
              <w:pStyle w:val="OutcomeDescription"/>
              <w:spacing w:before="120" w:after="120"/>
              <w:rPr>
                <w:rFonts w:cs="Arial"/>
                <w:lang w:eastAsia="en-NZ"/>
              </w:rPr>
            </w:pPr>
          </w:p>
        </w:tc>
        <w:tc>
          <w:tcPr>
            <w:tcW w:w="0" w:type="auto"/>
          </w:tcPr>
          <w:p w14:paraId="09BCF5D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131057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In response to two findings related to staffing in the previous (partial provisional) audit, the facility has addressed staffing levels to meet the changing needs of residents (from rest home only to rest home or hospital level) in the care suites. There has also been an increase in the number of staff with current syringe driver competency, with nine from 11 staff now competent (from four in the previous audit).</w:t>
            </w:r>
          </w:p>
          <w:p w14:paraId="40AC5CF5" w14:textId="77777777" w:rsidR="00EB7645" w:rsidRPr="00BE00C7" w:rsidRDefault="00000000" w:rsidP="00BE00C7">
            <w:pPr>
              <w:pStyle w:val="OutcomeDescription"/>
              <w:spacing w:before="120" w:after="120"/>
              <w:rPr>
                <w:rFonts w:cs="Arial"/>
                <w:lang w:eastAsia="en-NZ"/>
              </w:rPr>
            </w:pPr>
            <w:r w:rsidRPr="00BE00C7">
              <w:rPr>
                <w:rFonts w:cs="Arial"/>
                <w:lang w:eastAsia="en-NZ"/>
              </w:rPr>
              <w:t>A multidisciplinary team (MDT) approach ensures all aspects of service delivery were met. Care staff interviewed reported there were adequate staff to complete the work allocated to them. Residents and whānau interviewed reported that staff respond quickly to requests for service (e.g., call bells). At least one staff member on duty has a current first aid certificate and there is 24/7 RN coverage in the facility.</w:t>
            </w:r>
          </w:p>
          <w:p w14:paraId="2F7706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Position descriptions reflected the role of the respective position and expected behaviours and values. Descriptions of roles cover </w:t>
            </w:r>
            <w:r w:rsidRPr="00BE00C7">
              <w:rPr>
                <w:rFonts w:cs="Arial"/>
                <w:lang w:eastAsia="en-NZ"/>
              </w:rPr>
              <w:lastRenderedPageBreak/>
              <w:t>responsibilities and additional functions, such as holding a restraint or infection prevention and control (IPC) portfolio.</w:t>
            </w:r>
          </w:p>
          <w:p w14:paraId="0452CAB0"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tāngata whaikaha. Cultural competencies are completed to support equity.</w:t>
            </w:r>
          </w:p>
          <w:p w14:paraId="773661B4" w14:textId="77777777" w:rsidR="00EB7645" w:rsidRPr="00BE00C7" w:rsidRDefault="00000000" w:rsidP="00BE00C7">
            <w:pPr>
              <w:pStyle w:val="OutcomeDescription"/>
              <w:spacing w:before="120" w:after="120"/>
              <w:rPr>
                <w:rFonts w:cs="Arial"/>
                <w:lang w:eastAsia="en-NZ"/>
              </w:rPr>
            </w:pPr>
            <w:r w:rsidRPr="00BE00C7">
              <w:rPr>
                <w:rFonts w:cs="Arial"/>
                <w:lang w:eastAsia="en-NZ"/>
              </w:rPr>
              <w:t>Care staff have access to a New Zealand Qualification Authority (NZQA) education programme to meet the requirements of the provider’s agreements with Te Whatu Ora Midcentral.</w:t>
            </w:r>
          </w:p>
          <w:p w14:paraId="7C4F3730" w14:textId="77777777" w:rsidR="00EB7645" w:rsidRPr="00BE00C7" w:rsidRDefault="00000000" w:rsidP="00BE00C7">
            <w:pPr>
              <w:pStyle w:val="OutcomeDescription"/>
              <w:spacing w:before="120" w:after="120"/>
              <w:rPr>
                <w:rFonts w:cs="Arial"/>
                <w:lang w:eastAsia="en-NZ"/>
              </w:rPr>
            </w:pPr>
          </w:p>
        </w:tc>
      </w:tr>
      <w:tr w:rsidR="00771DDE" w14:paraId="54082A61" w14:textId="77777777">
        <w:tc>
          <w:tcPr>
            <w:tcW w:w="0" w:type="auto"/>
          </w:tcPr>
          <w:p w14:paraId="10F2D14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E53D7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1907DD7" w14:textId="77777777" w:rsidR="00EB7645" w:rsidRPr="00BE00C7" w:rsidRDefault="00000000" w:rsidP="00BE00C7">
            <w:pPr>
              <w:pStyle w:val="OutcomeDescription"/>
              <w:spacing w:before="120" w:after="120"/>
              <w:rPr>
                <w:rFonts w:cs="Arial"/>
                <w:lang w:eastAsia="en-NZ"/>
              </w:rPr>
            </w:pPr>
          </w:p>
        </w:tc>
        <w:tc>
          <w:tcPr>
            <w:tcW w:w="0" w:type="auto"/>
          </w:tcPr>
          <w:p w14:paraId="1F385E8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08FF89A" w14:textId="77777777" w:rsidR="00EB7645"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and include recruitment, selection, orientation, and staff training and development.</w:t>
            </w:r>
          </w:p>
          <w:p w14:paraId="3E4105D2"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Qualifications were validated prior to employment. Thereafter, a register of annual practising certificates (APCs) is maintained for registered nurses (RNs) and associated health contractors (general practitioners (GPs), pharmacists, physiotherapist, podiatrist, and dietitian).</w:t>
            </w:r>
          </w:p>
          <w:p w14:paraId="5F893196"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 staff records were reviewed. All records documented completion of induction and orientation which included competency assessments. Staff reported that the induction and orientation programme prepared them for their role and that there was support available to them to address any gaps in their knowledge following the orientation process. Caregiving staff orientation aligns with the level two New Zealand Qualification Authority (NZQA) health and wellbeing qualification.</w:t>
            </w:r>
          </w:p>
          <w:p w14:paraId="2D4041B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performance was reviewed and discussed at regular intervals; this was confirmed through review of documentation in all the staff records and confirmed through interviews with staff. Performance appraisals were completed after three months of service (to complete the orientation process) and then annually. Staff reported that they have input into the performance appraisal process, and that they can set their own goals.</w:t>
            </w:r>
          </w:p>
          <w:p w14:paraId="152553AF" w14:textId="77777777" w:rsidR="00EB7645" w:rsidRPr="00BE00C7" w:rsidRDefault="00000000" w:rsidP="00BE00C7">
            <w:pPr>
              <w:pStyle w:val="OutcomeDescription"/>
              <w:spacing w:before="120" w:after="120"/>
              <w:rPr>
                <w:rFonts w:cs="Arial"/>
                <w:lang w:eastAsia="en-NZ"/>
              </w:rPr>
            </w:pPr>
          </w:p>
        </w:tc>
      </w:tr>
      <w:tr w:rsidR="00771DDE" w14:paraId="76B9AA5D" w14:textId="77777777">
        <w:tc>
          <w:tcPr>
            <w:tcW w:w="0" w:type="auto"/>
          </w:tcPr>
          <w:p w14:paraId="584EA1D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5BA4277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38C2447" w14:textId="77777777" w:rsidR="00EB7645" w:rsidRPr="00BE00C7" w:rsidRDefault="00000000" w:rsidP="00BE00C7">
            <w:pPr>
              <w:pStyle w:val="OutcomeDescription"/>
              <w:spacing w:before="120" w:after="120"/>
              <w:rPr>
                <w:rFonts w:cs="Arial"/>
                <w:lang w:eastAsia="en-NZ"/>
              </w:rPr>
            </w:pPr>
          </w:p>
        </w:tc>
        <w:tc>
          <w:tcPr>
            <w:tcW w:w="0" w:type="auto"/>
          </w:tcPr>
          <w:p w14:paraId="72589C4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6FF32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 at MLC Palmerston North worked in partnership with the resident and their whānau to support the resident’s </w:t>
            </w:r>
            <w:r w:rsidRPr="00BE00C7">
              <w:rPr>
                <w:rFonts w:cs="Arial"/>
                <w:lang w:eastAsia="en-NZ"/>
              </w:rPr>
              <w:lastRenderedPageBreak/>
              <w:t>wellbeing. Six residents’ files were reviewed: four hospital files and two rest home files. Files reviewed included residents who self-administered medication, residents receiving care in a care suite, residents with a wound, residents receiving respite care, residents receiving care under an ACC contract, residents with a history of behaviours that were a challenge, and residents requiring care with a palliative approach.</w:t>
            </w:r>
          </w:p>
          <w:p w14:paraId="7DD03B8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files reviewed verified that a care plan was developed by an RN following a comprehensive assessment, including consideration of the person’s lived experience, cultural needs, values, and beliefs, and which considers wider service integration, where required.</w:t>
            </w:r>
          </w:p>
          <w:p w14:paraId="3889208F" w14:textId="77777777" w:rsidR="00EB7645" w:rsidRPr="00BE00C7" w:rsidRDefault="00000000" w:rsidP="00BE00C7">
            <w:pPr>
              <w:pStyle w:val="OutcomeDescription"/>
              <w:spacing w:before="120" w:after="120"/>
              <w:rPr>
                <w:rFonts w:cs="Arial"/>
                <w:lang w:eastAsia="en-NZ"/>
              </w:rPr>
            </w:pPr>
            <w:r w:rsidRPr="00BE00C7">
              <w:rPr>
                <w:rFonts w:cs="Arial"/>
                <w:lang w:eastAsia="en-NZ"/>
              </w:rPr>
              <w:t>Assessments were based on a range of clinical assessments and included the resident and whānau input (as applicable). Timeframes for the initial assessment, GP or nurse practitioner (NP) input, initial care plan, long-term care plan, short-term care plans, and review/evaluation timeframes met contractual requirements.</w:t>
            </w:r>
          </w:p>
          <w:p w14:paraId="7FB2D880" w14:textId="77777777" w:rsidR="00EB7645" w:rsidRPr="00BE00C7" w:rsidRDefault="00000000" w:rsidP="00BE00C7">
            <w:pPr>
              <w:pStyle w:val="OutcomeDescription"/>
              <w:spacing w:before="120" w:after="120"/>
              <w:rPr>
                <w:rFonts w:cs="Arial"/>
                <w:lang w:eastAsia="en-NZ"/>
              </w:rPr>
            </w:pPr>
            <w:r w:rsidRPr="00BE00C7">
              <w:rPr>
                <w:rFonts w:cs="Arial"/>
                <w:lang w:eastAsia="en-NZ"/>
              </w:rPr>
              <w:t>A resident with a chronic long-term wound, had evidence of wound management support by the region’s wound care nurse specialist, including a sign-off from further specialists’ input due to the effectiveness of the management regime and evidence of the area healing. Where a resident had an unwitnessed fall, post-fall assessments, neurological observations, incident forms and whānau notifications were sighted. Management of any specific medical condition was well documented, with evidence of systematic monitoring and regular evaluation of responses to planned care. Where progress was different from that expected, changes were made to the care plan in collaboration with the resident and/or whānau. Residents and their whānau confirmed active involvement in the process, including residents with a disability. This was verified by reviewing documentation, sampling residents’ records, interviews, and from observation.</w:t>
            </w:r>
          </w:p>
          <w:p w14:paraId="229C3295" w14:textId="77777777" w:rsidR="00EB7645" w:rsidRPr="00BE00C7" w:rsidRDefault="00000000" w:rsidP="00BE00C7">
            <w:pPr>
              <w:pStyle w:val="OutcomeDescription"/>
              <w:spacing w:before="120" w:after="120"/>
              <w:rPr>
                <w:rFonts w:cs="Arial"/>
                <w:lang w:eastAsia="en-NZ"/>
              </w:rPr>
            </w:pPr>
            <w:r w:rsidRPr="00BE00C7">
              <w:rPr>
                <w:rFonts w:cs="Arial"/>
                <w:lang w:eastAsia="en-NZ"/>
              </w:rPr>
              <w:t>A telephone interview with the NP expressed “extreme satisfaction” with the quality of care provided by MLC Palmerston North.</w:t>
            </w:r>
          </w:p>
          <w:p w14:paraId="5D4D3A12" w14:textId="77777777" w:rsidR="00EB7645" w:rsidRPr="00BE00C7" w:rsidRDefault="00000000" w:rsidP="00BE00C7">
            <w:pPr>
              <w:pStyle w:val="OutcomeDescription"/>
              <w:spacing w:before="120" w:after="120"/>
              <w:rPr>
                <w:rFonts w:cs="Arial"/>
                <w:lang w:eastAsia="en-NZ"/>
              </w:rPr>
            </w:pPr>
          </w:p>
        </w:tc>
      </w:tr>
      <w:tr w:rsidR="00771DDE" w14:paraId="6CCE4615" w14:textId="77777777">
        <w:tc>
          <w:tcPr>
            <w:tcW w:w="0" w:type="auto"/>
          </w:tcPr>
          <w:p w14:paraId="4BC9AC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2E0B2B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133FBAE" w14:textId="77777777" w:rsidR="00EB7645" w:rsidRPr="00BE00C7" w:rsidRDefault="00000000" w:rsidP="00BE00C7">
            <w:pPr>
              <w:pStyle w:val="OutcomeDescription"/>
              <w:spacing w:before="120" w:after="120"/>
              <w:rPr>
                <w:rFonts w:cs="Arial"/>
                <w:lang w:eastAsia="en-NZ"/>
              </w:rPr>
            </w:pPr>
          </w:p>
        </w:tc>
        <w:tc>
          <w:tcPr>
            <w:tcW w:w="0" w:type="auto"/>
          </w:tcPr>
          <w:p w14:paraId="524B11B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F342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 safe system for medicine management using an electronic system was seen on the day </w:t>
            </w:r>
            <w:r w:rsidRPr="00BE00C7">
              <w:rPr>
                <w:rFonts w:cs="Arial"/>
                <w:lang w:eastAsia="en-NZ"/>
              </w:rPr>
              <w:lastRenderedPageBreak/>
              <w:t>of the audit. All staff who administer medicines were assessed as competent to perform the function they manage. There was a process in place to identify, record and document residents’ medication sensitivities, and the action required for adverse events.</w:t>
            </w:r>
          </w:p>
          <w:p w14:paraId="2341172C"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1322B3E0"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were completed. The medicines stored were within the recommended temperature range. There were no vaccines stored on site.</w:t>
            </w:r>
          </w:p>
          <w:p w14:paraId="355B5764" w14:textId="77777777" w:rsidR="00EB7645" w:rsidRPr="00BE00C7" w:rsidRDefault="00000000" w:rsidP="00BE00C7">
            <w:pPr>
              <w:pStyle w:val="OutcomeDescription"/>
              <w:spacing w:before="120" w:after="120"/>
              <w:rPr>
                <w:rFonts w:cs="Arial"/>
                <w:lang w:eastAsia="en-NZ"/>
              </w:rPr>
            </w:pPr>
            <w:r w:rsidRPr="00BE00C7">
              <w:rPr>
                <w:rFonts w:cs="Arial"/>
                <w:lang w:eastAsia="en-NZ"/>
              </w:rPr>
              <w:t>Prescribing practices met requirements. The required three-monthly GP review was recorded on the medicine chart. Standing orders were not used at MLC Palmerston North.</w:t>
            </w:r>
          </w:p>
          <w:p w14:paraId="0C3467F4" w14:textId="77777777" w:rsidR="00EB7645" w:rsidRPr="00BE00C7" w:rsidRDefault="00000000" w:rsidP="00BE00C7">
            <w:pPr>
              <w:pStyle w:val="OutcomeDescription"/>
              <w:spacing w:before="120" w:after="120"/>
              <w:rPr>
                <w:rFonts w:cs="Arial"/>
                <w:lang w:eastAsia="en-NZ"/>
              </w:rPr>
            </w:pPr>
            <w:r w:rsidRPr="00BE00C7">
              <w:rPr>
                <w:rFonts w:cs="Arial"/>
                <w:lang w:eastAsia="en-NZ"/>
              </w:rPr>
              <w:t>Self-administration of medication was facilitated and managed safely. Residents were supported to understand their medications.</w:t>
            </w:r>
          </w:p>
          <w:p w14:paraId="5184C033" w14:textId="77777777" w:rsidR="00EB7645" w:rsidRPr="00BE00C7" w:rsidRDefault="00000000" w:rsidP="00BE00C7">
            <w:pPr>
              <w:pStyle w:val="OutcomeDescription"/>
              <w:spacing w:before="120" w:after="120"/>
              <w:rPr>
                <w:rFonts w:cs="Arial"/>
                <w:lang w:eastAsia="en-NZ"/>
              </w:rPr>
            </w:pPr>
          </w:p>
        </w:tc>
      </w:tr>
      <w:tr w:rsidR="00771DDE" w14:paraId="5D901F06" w14:textId="77777777">
        <w:tc>
          <w:tcPr>
            <w:tcW w:w="0" w:type="auto"/>
          </w:tcPr>
          <w:p w14:paraId="4063808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44585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A1F0831" w14:textId="77777777" w:rsidR="00EB7645" w:rsidRPr="00BE00C7" w:rsidRDefault="00000000" w:rsidP="00BE00C7">
            <w:pPr>
              <w:pStyle w:val="OutcomeDescription"/>
              <w:spacing w:before="120" w:after="120"/>
              <w:rPr>
                <w:rFonts w:cs="Arial"/>
                <w:lang w:eastAsia="en-NZ"/>
              </w:rPr>
            </w:pPr>
          </w:p>
        </w:tc>
        <w:tc>
          <w:tcPr>
            <w:tcW w:w="0" w:type="auto"/>
          </w:tcPr>
          <w:p w14:paraId="538A1C5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6DF5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provided at MLC Palmerston North was in line with recognised nutritional guidelines for older people. Metlifecare employs a dietitian who implements their seasonal menus, in accordance with seasonal availability and residents’ choice. A telephone interview with the dietitian verified the dietitian’s input. The menu also includes Māori and Pasifika inspired options.</w:t>
            </w:r>
          </w:p>
          <w:p w14:paraId="3973A6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operated with an approved food safety plan and registration. A verification audit of the food control plan was undertaken on 7 November 2023. Four areas requiring corrective action were identified, and these had been addressed. The plan was verified for 18 months. The plan is due for re-audit in May 2025.</w:t>
            </w:r>
          </w:p>
          <w:p w14:paraId="24CF232E" w14:textId="77777777" w:rsidR="00EB7645" w:rsidRPr="00BE00C7" w:rsidRDefault="00000000"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 modified texture requirements were accommodated in the daily meal plan. All residents had opportunities to request meals of their choice and the kitchen would address this.</w:t>
            </w:r>
          </w:p>
          <w:p w14:paraId="398562B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Interviews, observations and documentation verified residents were very satisfied with the meals provided. Evidence of residents’ satisfaction with meals was verified by residents and whānau interviews, and resident and whānau meeting minutes. This was supported at audit when residents responded favourably regarding the meals provided that day.</w:t>
            </w:r>
          </w:p>
          <w:p w14:paraId="4D29F45B" w14:textId="77777777" w:rsidR="00EB7645" w:rsidRPr="00BE00C7" w:rsidRDefault="00000000" w:rsidP="00BE00C7">
            <w:pPr>
              <w:pStyle w:val="OutcomeDescription"/>
              <w:spacing w:before="120" w:after="120"/>
              <w:rPr>
                <w:rFonts w:cs="Arial"/>
                <w:lang w:eastAsia="en-NZ"/>
              </w:rPr>
            </w:pPr>
          </w:p>
        </w:tc>
      </w:tr>
      <w:tr w:rsidR="00771DDE" w14:paraId="78B40723" w14:textId="77777777">
        <w:tc>
          <w:tcPr>
            <w:tcW w:w="0" w:type="auto"/>
          </w:tcPr>
          <w:p w14:paraId="7D030C7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901D8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6CFBB06" w14:textId="77777777" w:rsidR="00EB7645" w:rsidRPr="00BE00C7" w:rsidRDefault="00000000" w:rsidP="00BE00C7">
            <w:pPr>
              <w:pStyle w:val="OutcomeDescription"/>
              <w:spacing w:before="120" w:after="120"/>
              <w:rPr>
                <w:rFonts w:cs="Arial"/>
                <w:lang w:eastAsia="en-NZ"/>
              </w:rPr>
            </w:pPr>
          </w:p>
        </w:tc>
        <w:tc>
          <w:tcPr>
            <w:tcW w:w="0" w:type="auto"/>
          </w:tcPr>
          <w:p w14:paraId="7A46AC5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44DA926" w14:textId="77777777" w:rsidR="00EB7645" w:rsidRPr="00BE00C7" w:rsidRDefault="00000000" w:rsidP="00BE00C7">
            <w:pPr>
              <w:pStyle w:val="OutcomeDescription"/>
              <w:spacing w:before="120" w:after="120"/>
              <w:rPr>
                <w:rFonts w:cs="Arial"/>
                <w:lang w:eastAsia="en-NZ"/>
              </w:rPr>
            </w:pPr>
            <w:r w:rsidRPr="00BE00C7">
              <w:rPr>
                <w:rFonts w:cs="Arial"/>
                <w:lang w:eastAsia="en-NZ"/>
              </w:rPr>
              <w:t>Transfer or discharge from MLC Palmerston North was planned and managed safely to cover current needs and mitigate risk. The plan was developed with coordination between services and in collaboration with the resident and whānau. An interview with a resident who was recently transferred reported that they were kept well-informed throughout the process.</w:t>
            </w:r>
          </w:p>
          <w:p w14:paraId="325EC4E3" w14:textId="77777777" w:rsidR="00EB7645" w:rsidRPr="00BE00C7" w:rsidRDefault="00000000" w:rsidP="00BE00C7">
            <w:pPr>
              <w:pStyle w:val="OutcomeDescription"/>
              <w:spacing w:before="120" w:after="120"/>
              <w:rPr>
                <w:rFonts w:cs="Arial"/>
                <w:lang w:eastAsia="en-NZ"/>
              </w:rPr>
            </w:pPr>
          </w:p>
        </w:tc>
      </w:tr>
      <w:tr w:rsidR="00771DDE" w14:paraId="3F6CCB69" w14:textId="77777777">
        <w:tc>
          <w:tcPr>
            <w:tcW w:w="0" w:type="auto"/>
          </w:tcPr>
          <w:p w14:paraId="2D82BF4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BF0E07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2E0B8C8" w14:textId="77777777" w:rsidR="00EB7645" w:rsidRPr="00BE00C7" w:rsidRDefault="00000000" w:rsidP="00BE00C7">
            <w:pPr>
              <w:pStyle w:val="OutcomeDescription"/>
              <w:spacing w:before="120" w:after="120"/>
              <w:rPr>
                <w:rFonts w:cs="Arial"/>
                <w:lang w:eastAsia="en-NZ"/>
              </w:rPr>
            </w:pPr>
          </w:p>
        </w:tc>
        <w:tc>
          <w:tcPr>
            <w:tcW w:w="0" w:type="auto"/>
          </w:tcPr>
          <w:p w14:paraId="721DB24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84D8E5B" w14:textId="77777777" w:rsidR="00EB7645"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culturally appropriate, and that they meet legislative requirements. The building has a warrant of fitness which expires on 31 August 2024 (after the partial provisional audit). There have also been no changes to the building or services since the previous audit.</w:t>
            </w:r>
          </w:p>
          <w:p w14:paraId="525B325E" w14:textId="77777777" w:rsidR="00EB7645" w:rsidRPr="00BE00C7" w:rsidRDefault="00000000" w:rsidP="00BE00C7">
            <w:pPr>
              <w:pStyle w:val="OutcomeDescription"/>
              <w:spacing w:before="120" w:after="120"/>
              <w:rPr>
                <w:rFonts w:cs="Arial"/>
                <w:lang w:eastAsia="en-NZ"/>
              </w:rPr>
            </w:pPr>
            <w:r w:rsidRPr="00BE00C7">
              <w:rPr>
                <w:rFonts w:cs="Arial"/>
                <w:lang w:eastAsia="en-NZ"/>
              </w:rPr>
              <w:t>A planned maintenance schedule includes electrical testing and tagging, resident equipment checks, and calibrations of weigh scales and biomedical equipment. Monthly hot water tests were being completed for resident areas; these were sighted and were all within normal range.</w:t>
            </w:r>
          </w:p>
          <w:p w14:paraId="0FA81CFD" w14:textId="77777777" w:rsidR="00EB7645" w:rsidRPr="00BE00C7" w:rsidRDefault="00000000" w:rsidP="00BE00C7">
            <w:pPr>
              <w:pStyle w:val="OutcomeDescription"/>
              <w:spacing w:before="120" w:after="120"/>
              <w:rPr>
                <w:rFonts w:cs="Arial"/>
                <w:lang w:eastAsia="en-NZ"/>
              </w:rPr>
            </w:pPr>
          </w:p>
        </w:tc>
      </w:tr>
      <w:tr w:rsidR="00771DDE" w14:paraId="17297C74" w14:textId="77777777">
        <w:tc>
          <w:tcPr>
            <w:tcW w:w="0" w:type="auto"/>
          </w:tcPr>
          <w:p w14:paraId="4BC4492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4436ED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A47F803" w14:textId="77777777" w:rsidR="00EB7645" w:rsidRPr="00BE00C7" w:rsidRDefault="00000000" w:rsidP="00BE00C7">
            <w:pPr>
              <w:pStyle w:val="OutcomeDescription"/>
              <w:spacing w:before="120" w:after="120"/>
              <w:rPr>
                <w:rFonts w:cs="Arial"/>
                <w:lang w:eastAsia="en-NZ"/>
              </w:rPr>
            </w:pPr>
          </w:p>
        </w:tc>
        <w:tc>
          <w:tcPr>
            <w:tcW w:w="0" w:type="auto"/>
          </w:tcPr>
          <w:p w14:paraId="0602447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0A282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fire evacuation plan was re-assessed by Fire and Emergency New Zealand following the change in use of the care suites from rest home </w:t>
            </w:r>
            <w:r w:rsidRPr="00BE00C7">
              <w:rPr>
                <w:rFonts w:cs="Arial"/>
                <w:lang w:eastAsia="en-NZ"/>
              </w:rPr>
              <w:lastRenderedPageBreak/>
              <w:t>only to dual purpose (rest home or hospital), no changes were required. Staff interviewed knew what to do in an emergency. They have received relevant information and training and have equipment to respond to emergency and security situations following the change in service acuity.</w:t>
            </w:r>
          </w:p>
          <w:p w14:paraId="40B26716" w14:textId="77777777" w:rsidR="00EB7645" w:rsidRPr="00BE00C7" w:rsidRDefault="00000000" w:rsidP="00BE00C7">
            <w:pPr>
              <w:pStyle w:val="OutcomeDescription"/>
              <w:spacing w:before="120" w:after="120"/>
              <w:rPr>
                <w:rFonts w:cs="Arial"/>
                <w:lang w:eastAsia="en-NZ"/>
              </w:rPr>
            </w:pPr>
          </w:p>
        </w:tc>
      </w:tr>
      <w:tr w:rsidR="00771DDE" w14:paraId="53BE493E" w14:textId="77777777">
        <w:tc>
          <w:tcPr>
            <w:tcW w:w="0" w:type="auto"/>
          </w:tcPr>
          <w:p w14:paraId="2D98303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427F02D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D9D409C" w14:textId="77777777" w:rsidR="00EB7645" w:rsidRPr="00BE00C7" w:rsidRDefault="00000000" w:rsidP="00BE00C7">
            <w:pPr>
              <w:pStyle w:val="OutcomeDescription"/>
              <w:spacing w:before="120" w:after="120"/>
              <w:rPr>
                <w:rFonts w:cs="Arial"/>
                <w:lang w:eastAsia="en-NZ"/>
              </w:rPr>
            </w:pPr>
          </w:p>
        </w:tc>
        <w:tc>
          <w:tcPr>
            <w:tcW w:w="0" w:type="auto"/>
          </w:tcPr>
          <w:p w14:paraId="34C46B3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525FA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prevention (IP) and antimicrobial stewardship (AMS) programmes at MLC Palmerston North were appropriate to the size and complexity of the service, had been approved by the governing body, link to the quality and risk system, and are reviewed and reported on yearly. Expertise and advice are sought following a defined process. A documented pathway supports risk-based reporting of progress, issues and significant events to the governing body.</w:t>
            </w:r>
          </w:p>
          <w:p w14:paraId="692C130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familiar with policies through education during orientation and ongoing education and were observed following these correctly.</w:t>
            </w:r>
          </w:p>
          <w:p w14:paraId="5AE30EDE" w14:textId="77777777" w:rsidR="00EB7645" w:rsidRPr="00BE00C7" w:rsidRDefault="00000000" w:rsidP="00BE00C7">
            <w:pPr>
              <w:pStyle w:val="OutcomeDescription"/>
              <w:spacing w:before="120" w:after="120"/>
              <w:rPr>
                <w:rFonts w:cs="Arial"/>
                <w:lang w:eastAsia="en-NZ"/>
              </w:rPr>
            </w:pPr>
          </w:p>
        </w:tc>
      </w:tr>
      <w:tr w:rsidR="00771DDE" w14:paraId="5A8DBC67" w14:textId="77777777">
        <w:tc>
          <w:tcPr>
            <w:tcW w:w="0" w:type="auto"/>
          </w:tcPr>
          <w:p w14:paraId="460CAD4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F5F9F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monitored by </w:t>
            </w:r>
            <w:r w:rsidRPr="00BE00C7">
              <w:rPr>
                <w:rFonts w:cs="Arial"/>
                <w:lang w:eastAsia="en-NZ"/>
              </w:rPr>
              <w:lastRenderedPageBreak/>
              <w:t>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27FB235" w14:textId="77777777" w:rsidR="00EB7645" w:rsidRPr="00BE00C7" w:rsidRDefault="00000000" w:rsidP="00BE00C7">
            <w:pPr>
              <w:pStyle w:val="OutcomeDescription"/>
              <w:spacing w:before="120" w:after="120"/>
              <w:rPr>
                <w:rFonts w:cs="Arial"/>
                <w:lang w:eastAsia="en-NZ"/>
              </w:rPr>
            </w:pPr>
          </w:p>
        </w:tc>
        <w:tc>
          <w:tcPr>
            <w:tcW w:w="0" w:type="auto"/>
          </w:tcPr>
          <w:p w14:paraId="37E47D0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9D9DAE"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Palmerston North undertook surveillance of infections appropriate to those recommended for long-term care facilities and this was in line with priorities defined in the infection control programme. The service used standardised surveillance definitions to identify and classify infection events that relate to the type of infection under surveillance.</w:t>
            </w:r>
          </w:p>
          <w:p w14:paraId="60B70D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Monthly surveillance data was collated and analysed to identify any trends, possible causative factors, and required actions. Results of the surveillance programme were reported to management and the governing body and shared with staff.</w:t>
            </w:r>
          </w:p>
          <w:p w14:paraId="697F7A8F" w14:textId="77777777" w:rsidR="00EB7645" w:rsidRPr="00BE00C7" w:rsidRDefault="00000000" w:rsidP="00BE00C7">
            <w:pPr>
              <w:pStyle w:val="OutcomeDescription"/>
              <w:spacing w:before="120" w:after="120"/>
              <w:rPr>
                <w:rFonts w:cs="Arial"/>
                <w:lang w:eastAsia="en-NZ"/>
              </w:rPr>
            </w:pPr>
          </w:p>
        </w:tc>
      </w:tr>
      <w:tr w:rsidR="00771DDE" w14:paraId="1C6B5FF3" w14:textId="77777777">
        <w:tc>
          <w:tcPr>
            <w:tcW w:w="0" w:type="auto"/>
          </w:tcPr>
          <w:p w14:paraId="0A81B0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C5587F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84DCA39" w14:textId="77777777" w:rsidR="00EB7645" w:rsidRPr="00BE00C7" w:rsidRDefault="00000000" w:rsidP="00BE00C7">
            <w:pPr>
              <w:pStyle w:val="OutcomeDescription"/>
              <w:spacing w:before="120" w:after="120"/>
              <w:rPr>
                <w:rFonts w:cs="Arial"/>
                <w:lang w:eastAsia="en-NZ"/>
              </w:rPr>
            </w:pPr>
          </w:p>
        </w:tc>
        <w:tc>
          <w:tcPr>
            <w:tcW w:w="0" w:type="auto"/>
          </w:tcPr>
          <w:p w14:paraId="0B53CF1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3C6BCA" w14:textId="77777777" w:rsidR="00EB7645" w:rsidRPr="00BE00C7" w:rsidRDefault="00000000" w:rsidP="00BE00C7">
            <w:pPr>
              <w:pStyle w:val="OutcomeDescription"/>
              <w:spacing w:before="120" w:after="120"/>
              <w:rPr>
                <w:rFonts w:cs="Arial"/>
                <w:lang w:eastAsia="en-NZ"/>
              </w:rPr>
            </w:pPr>
            <w:r w:rsidRPr="00BE00C7">
              <w:rPr>
                <w:rFonts w:cs="Arial"/>
                <w:lang w:eastAsia="en-NZ"/>
              </w:rPr>
              <w:t>Metlifecare is committed to a restraint-free environment in all its facilities, and this is documented in the policy and procedure in place to guide restraint. Metlifecare Palmerston North has been restraint-free since 2019. There are strategies in place to eliminate restraint, including an investment in equipment to support the removal of restraint (e.g., intentional rounding (scheduled checking of at-risk residents), use of high/low beds, and sensor equipment). Documentation confirmed that restraint is discussed at governance level and that aggregated information on restraint use at facility, regional and national level is reported to the board. The restraint elimination policy was available on Metlifecare’s intranet for all staff to read.</w:t>
            </w:r>
          </w:p>
          <w:p w14:paraId="0DFFF456"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protocols are covered in the orientation programme of the facility and included in the education/training programme (which includes annual restraint competency). Staff have been trained in the management of behaviours that challenge, least restrictive practice, safe restraint practice, alternative cultural-specific interventions, de-escalation techniques, and restraint monitoring as part of the 2023 education programme. This was confirmed through documentation and at interviews with staff.</w:t>
            </w:r>
          </w:p>
          <w:p w14:paraId="2F4D337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reported that their input into residents at risk was welcomed at staff meetings. The NM confirmed that issues were discussed at staff quality meetings; meeting minutes were sighted and confirmed this. The NM confirmed that there was a clear process for the escalation of any issues which was consistent with policy; no escalation has been required.</w:t>
            </w:r>
          </w:p>
          <w:p w14:paraId="3FBBA30F" w14:textId="77777777" w:rsidR="00EB7645" w:rsidRPr="00BE00C7" w:rsidRDefault="00000000" w:rsidP="00BE00C7">
            <w:pPr>
              <w:pStyle w:val="OutcomeDescription"/>
              <w:spacing w:before="120" w:after="120"/>
              <w:rPr>
                <w:rFonts w:cs="Arial"/>
                <w:lang w:eastAsia="en-NZ"/>
              </w:rPr>
            </w:pPr>
          </w:p>
        </w:tc>
      </w:tr>
    </w:tbl>
    <w:p w14:paraId="5E4CBD86"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410FAC20" w14:textId="77777777" w:rsidR="00460D43" w:rsidRDefault="00000000">
      <w:pPr>
        <w:pStyle w:val="Heading1"/>
        <w:rPr>
          <w:rFonts w:cs="Arial"/>
        </w:rPr>
      </w:pPr>
      <w:r>
        <w:rPr>
          <w:rFonts w:cs="Arial"/>
        </w:rPr>
        <w:lastRenderedPageBreak/>
        <w:t>Specific results for criterion where corrective actions are required</w:t>
      </w:r>
    </w:p>
    <w:p w14:paraId="114B176D"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8CE753C"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737440F5"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1DDE" w14:paraId="1350C68F" w14:textId="77777777">
        <w:tc>
          <w:tcPr>
            <w:tcW w:w="0" w:type="auto"/>
          </w:tcPr>
          <w:p w14:paraId="4DECDFC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CDE0E74"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0DDD3BF4" w14:textId="77777777" w:rsidR="00460D43" w:rsidRDefault="00000000">
      <w:pPr>
        <w:pStyle w:val="Heading1"/>
        <w:rPr>
          <w:rFonts w:cs="Arial"/>
        </w:rPr>
      </w:pPr>
      <w:r>
        <w:rPr>
          <w:rFonts w:cs="Arial"/>
        </w:rPr>
        <w:lastRenderedPageBreak/>
        <w:t>Specific results for criterion where a continuous improvement has been recorded</w:t>
      </w:r>
    </w:p>
    <w:p w14:paraId="7B51C1E0"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A879E19"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w:t>
      </w:r>
      <w:r w:rsidRPr="00FB778F">
        <w:rPr>
          <w:rFonts w:cs="Arial"/>
          <w:sz w:val="24"/>
          <w:lang w:eastAsia="en-NZ"/>
        </w:rPr>
        <w:t xml:space="preserve"> linked to the relevant subsection by looking at the code.  For example,  Criterion 1.1.1 relates to subsection 1.1: Pae ora healthy futures in Section 1: Our rights. </w:t>
      </w:r>
    </w:p>
    <w:p w14:paraId="0FC8D1F8"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71DDE" w14:paraId="77E4C1C5" w14:textId="77777777">
        <w:tc>
          <w:tcPr>
            <w:tcW w:w="0" w:type="auto"/>
          </w:tcPr>
          <w:p w14:paraId="262BC301"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DEA9C8D"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C849BF9"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E5F3" w14:textId="77777777" w:rsidR="00304F60" w:rsidRDefault="00304F60">
      <w:r>
        <w:separator/>
      </w:r>
    </w:p>
  </w:endnote>
  <w:endnote w:type="continuationSeparator" w:id="0">
    <w:p w14:paraId="23D1EC79" w14:textId="77777777" w:rsidR="00304F60" w:rsidRDefault="0030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29CD" w14:textId="77777777" w:rsidR="000B00BC" w:rsidRDefault="00000000">
    <w:pPr>
      <w:pStyle w:val="Footer"/>
    </w:pPr>
  </w:p>
  <w:p w14:paraId="00EC5E24" w14:textId="77777777" w:rsidR="005A4A55" w:rsidRDefault="00000000"/>
  <w:p w14:paraId="06E43531"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D789"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Limited - Metlifecare Palmerston North</w:t>
    </w:r>
    <w:bookmarkEnd w:id="59"/>
    <w:r>
      <w:rPr>
        <w:rFonts w:cs="Arial"/>
        <w:sz w:val="16"/>
        <w:szCs w:val="20"/>
      </w:rPr>
      <w:tab/>
      <w:t xml:space="preserve">Date of Audit: </w:t>
    </w:r>
    <w:bookmarkStart w:id="60" w:name="AuditStartDate1"/>
    <w:r>
      <w:rPr>
        <w:rFonts w:cs="Arial"/>
        <w:sz w:val="16"/>
        <w:szCs w:val="20"/>
      </w:rPr>
      <w:t>30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6017736"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3B7E"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0B71" w14:textId="77777777" w:rsidR="00304F60" w:rsidRDefault="00304F60">
      <w:r>
        <w:separator/>
      </w:r>
    </w:p>
  </w:footnote>
  <w:footnote w:type="continuationSeparator" w:id="0">
    <w:p w14:paraId="6615C70A" w14:textId="77777777" w:rsidR="00304F60" w:rsidRDefault="0030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7D33" w14:textId="77777777" w:rsidR="000B00BC" w:rsidRDefault="00000000">
    <w:pPr>
      <w:pStyle w:val="Header"/>
    </w:pPr>
  </w:p>
  <w:p w14:paraId="5C87D6BB"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C7F4" w14:textId="77777777" w:rsidR="000B00BC" w:rsidRDefault="00000000">
    <w:pPr>
      <w:pStyle w:val="Header"/>
    </w:pPr>
  </w:p>
  <w:p w14:paraId="0FE2A36D"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C73C"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95E71AA">
      <w:start w:val="1"/>
      <w:numFmt w:val="decimal"/>
      <w:lvlText w:val="%1."/>
      <w:lvlJc w:val="left"/>
      <w:pPr>
        <w:ind w:left="360" w:hanging="360"/>
      </w:pPr>
    </w:lvl>
    <w:lvl w:ilvl="1" w:tplc="EAB483D4" w:tentative="1">
      <w:start w:val="1"/>
      <w:numFmt w:val="lowerLetter"/>
      <w:lvlText w:val="%2."/>
      <w:lvlJc w:val="left"/>
      <w:pPr>
        <w:ind w:left="1080" w:hanging="360"/>
      </w:pPr>
    </w:lvl>
    <w:lvl w:ilvl="2" w:tplc="F1A252D0" w:tentative="1">
      <w:start w:val="1"/>
      <w:numFmt w:val="lowerRoman"/>
      <w:lvlText w:val="%3."/>
      <w:lvlJc w:val="right"/>
      <w:pPr>
        <w:ind w:left="1800" w:hanging="180"/>
      </w:pPr>
    </w:lvl>
    <w:lvl w:ilvl="3" w:tplc="881C0BCC" w:tentative="1">
      <w:start w:val="1"/>
      <w:numFmt w:val="decimal"/>
      <w:lvlText w:val="%4."/>
      <w:lvlJc w:val="left"/>
      <w:pPr>
        <w:ind w:left="2520" w:hanging="360"/>
      </w:pPr>
    </w:lvl>
    <w:lvl w:ilvl="4" w:tplc="F306F490" w:tentative="1">
      <w:start w:val="1"/>
      <w:numFmt w:val="lowerLetter"/>
      <w:lvlText w:val="%5."/>
      <w:lvlJc w:val="left"/>
      <w:pPr>
        <w:ind w:left="3240" w:hanging="360"/>
      </w:pPr>
    </w:lvl>
    <w:lvl w:ilvl="5" w:tplc="F1D05BD4" w:tentative="1">
      <w:start w:val="1"/>
      <w:numFmt w:val="lowerRoman"/>
      <w:lvlText w:val="%6."/>
      <w:lvlJc w:val="right"/>
      <w:pPr>
        <w:ind w:left="3960" w:hanging="180"/>
      </w:pPr>
    </w:lvl>
    <w:lvl w:ilvl="6" w:tplc="61BC03DC" w:tentative="1">
      <w:start w:val="1"/>
      <w:numFmt w:val="decimal"/>
      <w:lvlText w:val="%7."/>
      <w:lvlJc w:val="left"/>
      <w:pPr>
        <w:ind w:left="4680" w:hanging="360"/>
      </w:pPr>
    </w:lvl>
    <w:lvl w:ilvl="7" w:tplc="839434EE" w:tentative="1">
      <w:start w:val="1"/>
      <w:numFmt w:val="lowerLetter"/>
      <w:lvlText w:val="%8."/>
      <w:lvlJc w:val="left"/>
      <w:pPr>
        <w:ind w:left="5400" w:hanging="360"/>
      </w:pPr>
    </w:lvl>
    <w:lvl w:ilvl="8" w:tplc="EBDA94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00283A8">
      <w:start w:val="1"/>
      <w:numFmt w:val="bullet"/>
      <w:lvlText w:val=""/>
      <w:lvlJc w:val="left"/>
      <w:pPr>
        <w:ind w:left="720" w:hanging="360"/>
      </w:pPr>
      <w:rPr>
        <w:rFonts w:ascii="Symbol" w:hAnsi="Symbol" w:hint="default"/>
      </w:rPr>
    </w:lvl>
    <w:lvl w:ilvl="1" w:tplc="408222FE" w:tentative="1">
      <w:start w:val="1"/>
      <w:numFmt w:val="bullet"/>
      <w:lvlText w:val="o"/>
      <w:lvlJc w:val="left"/>
      <w:pPr>
        <w:ind w:left="1440" w:hanging="360"/>
      </w:pPr>
      <w:rPr>
        <w:rFonts w:ascii="Courier New" w:hAnsi="Courier New" w:cs="Courier New" w:hint="default"/>
      </w:rPr>
    </w:lvl>
    <w:lvl w:ilvl="2" w:tplc="CEC4D800" w:tentative="1">
      <w:start w:val="1"/>
      <w:numFmt w:val="bullet"/>
      <w:lvlText w:val=""/>
      <w:lvlJc w:val="left"/>
      <w:pPr>
        <w:ind w:left="2160" w:hanging="360"/>
      </w:pPr>
      <w:rPr>
        <w:rFonts w:ascii="Wingdings" w:hAnsi="Wingdings" w:hint="default"/>
      </w:rPr>
    </w:lvl>
    <w:lvl w:ilvl="3" w:tplc="3AAE7C1E" w:tentative="1">
      <w:start w:val="1"/>
      <w:numFmt w:val="bullet"/>
      <w:lvlText w:val=""/>
      <w:lvlJc w:val="left"/>
      <w:pPr>
        <w:ind w:left="2880" w:hanging="360"/>
      </w:pPr>
      <w:rPr>
        <w:rFonts w:ascii="Symbol" w:hAnsi="Symbol" w:hint="default"/>
      </w:rPr>
    </w:lvl>
    <w:lvl w:ilvl="4" w:tplc="F5F09EE0" w:tentative="1">
      <w:start w:val="1"/>
      <w:numFmt w:val="bullet"/>
      <w:lvlText w:val="o"/>
      <w:lvlJc w:val="left"/>
      <w:pPr>
        <w:ind w:left="3600" w:hanging="360"/>
      </w:pPr>
      <w:rPr>
        <w:rFonts w:ascii="Courier New" w:hAnsi="Courier New" w:cs="Courier New" w:hint="default"/>
      </w:rPr>
    </w:lvl>
    <w:lvl w:ilvl="5" w:tplc="6F84A24C" w:tentative="1">
      <w:start w:val="1"/>
      <w:numFmt w:val="bullet"/>
      <w:lvlText w:val=""/>
      <w:lvlJc w:val="left"/>
      <w:pPr>
        <w:ind w:left="4320" w:hanging="360"/>
      </w:pPr>
      <w:rPr>
        <w:rFonts w:ascii="Wingdings" w:hAnsi="Wingdings" w:hint="default"/>
      </w:rPr>
    </w:lvl>
    <w:lvl w:ilvl="6" w:tplc="A92A3F5A" w:tentative="1">
      <w:start w:val="1"/>
      <w:numFmt w:val="bullet"/>
      <w:lvlText w:val=""/>
      <w:lvlJc w:val="left"/>
      <w:pPr>
        <w:ind w:left="5040" w:hanging="360"/>
      </w:pPr>
      <w:rPr>
        <w:rFonts w:ascii="Symbol" w:hAnsi="Symbol" w:hint="default"/>
      </w:rPr>
    </w:lvl>
    <w:lvl w:ilvl="7" w:tplc="D7127366" w:tentative="1">
      <w:start w:val="1"/>
      <w:numFmt w:val="bullet"/>
      <w:lvlText w:val="o"/>
      <w:lvlJc w:val="left"/>
      <w:pPr>
        <w:ind w:left="5760" w:hanging="360"/>
      </w:pPr>
      <w:rPr>
        <w:rFonts w:ascii="Courier New" w:hAnsi="Courier New" w:cs="Courier New" w:hint="default"/>
      </w:rPr>
    </w:lvl>
    <w:lvl w:ilvl="8" w:tplc="78A01422" w:tentative="1">
      <w:start w:val="1"/>
      <w:numFmt w:val="bullet"/>
      <w:lvlText w:val=""/>
      <w:lvlJc w:val="left"/>
      <w:pPr>
        <w:ind w:left="6480" w:hanging="360"/>
      </w:pPr>
      <w:rPr>
        <w:rFonts w:ascii="Wingdings" w:hAnsi="Wingdings" w:hint="default"/>
      </w:rPr>
    </w:lvl>
  </w:abstractNum>
  <w:num w:numId="1" w16cid:durableId="442696039">
    <w:abstractNumId w:val="1"/>
  </w:num>
  <w:num w:numId="2" w16cid:durableId="161448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DE"/>
    <w:rsid w:val="0006075A"/>
    <w:rsid w:val="001F4E21"/>
    <w:rsid w:val="0030401A"/>
    <w:rsid w:val="00304F60"/>
    <w:rsid w:val="00771DDE"/>
    <w:rsid w:val="00EF79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2117"/>
  <w15:docId w15:val="{E10C4E11-D932-4753-ABC4-62638110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7044</Words>
  <Characters>40153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6</cp:revision>
  <dcterms:created xsi:type="dcterms:W3CDTF">2024-06-10T20:33:00Z</dcterms:created>
  <dcterms:modified xsi:type="dcterms:W3CDTF">2024-06-10T20:39:00Z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