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D937" w14:textId="77777777" w:rsidR="00460D43" w:rsidRDefault="00000000">
      <w:pPr>
        <w:pStyle w:val="Heading1"/>
        <w:rPr>
          <w:rFonts w:cs="Arial"/>
        </w:rPr>
      </w:pPr>
      <w:bookmarkStart w:id="0" w:name="PRMS_RIName"/>
      <w:r>
        <w:rPr>
          <w:rFonts w:cs="Arial"/>
        </w:rPr>
        <w:t>Oceania Care Company Limited - Green Gables</w:t>
      </w:r>
      <w:bookmarkEnd w:id="0"/>
    </w:p>
    <w:p w14:paraId="781BD6F0" w14:textId="77777777" w:rsidR="00460D43" w:rsidRDefault="00000000">
      <w:pPr>
        <w:pStyle w:val="Heading2"/>
        <w:spacing w:after="0"/>
        <w:rPr>
          <w:rFonts w:cs="Arial"/>
        </w:rPr>
      </w:pPr>
      <w:r>
        <w:rPr>
          <w:rFonts w:cs="Arial"/>
        </w:rPr>
        <w:t>Introduction</w:t>
      </w:r>
    </w:p>
    <w:p w14:paraId="5F11ABB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3F5BFD5"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5CD303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BC0502D"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BD0BB25" w14:textId="77777777" w:rsidR="00460D43" w:rsidRDefault="00000000">
      <w:pPr>
        <w:spacing w:before="240" w:after="240"/>
        <w:rPr>
          <w:rFonts w:cs="Arial"/>
          <w:lang w:eastAsia="en-NZ"/>
        </w:rPr>
      </w:pPr>
      <w:r>
        <w:rPr>
          <w:rFonts w:cs="Arial"/>
          <w:lang w:eastAsia="en-NZ"/>
        </w:rPr>
        <w:t>The specifics of this audit included:</w:t>
      </w:r>
    </w:p>
    <w:p w14:paraId="21A84A6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03AB0E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76A147D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 Gables</w:t>
      </w:r>
      <w:bookmarkEnd w:id="5"/>
    </w:p>
    <w:p w14:paraId="244DC63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6BB08C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June 2024</w:t>
      </w:r>
      <w:bookmarkEnd w:id="7"/>
      <w:r w:rsidRPr="009418D4">
        <w:rPr>
          <w:rFonts w:cs="Arial"/>
        </w:rPr>
        <w:tab/>
        <w:t xml:space="preserve">End date: </w:t>
      </w:r>
      <w:bookmarkStart w:id="8" w:name="AuditEndDate"/>
      <w:r>
        <w:rPr>
          <w:rFonts w:cs="Arial"/>
        </w:rPr>
        <w:t>20 June 2024</w:t>
      </w:r>
      <w:bookmarkEnd w:id="8"/>
    </w:p>
    <w:p w14:paraId="604C5C0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72AEE3" w14:textId="77777777" w:rsidR="003074B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06AC257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5260865" w14:textId="77777777" w:rsidR="00460D43" w:rsidRDefault="00000000">
      <w:pPr>
        <w:pStyle w:val="Heading1"/>
        <w:rPr>
          <w:rFonts w:cs="Arial"/>
        </w:rPr>
      </w:pPr>
      <w:r>
        <w:rPr>
          <w:rFonts w:cs="Arial"/>
        </w:rPr>
        <w:lastRenderedPageBreak/>
        <w:t>Executive summary of the audit</w:t>
      </w:r>
    </w:p>
    <w:p w14:paraId="6F1CCD13" w14:textId="77777777" w:rsidR="00460D43" w:rsidRDefault="00000000">
      <w:pPr>
        <w:pStyle w:val="Heading2"/>
        <w:rPr>
          <w:rFonts w:cs="Arial"/>
        </w:rPr>
      </w:pPr>
      <w:r>
        <w:rPr>
          <w:rFonts w:cs="Arial"/>
        </w:rPr>
        <w:t>Introduction</w:t>
      </w:r>
    </w:p>
    <w:p w14:paraId="3EF44F8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D9CEBF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14C2A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F7CB11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DA3E96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43DC08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010BA8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D1076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A15574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3074B6" w14:paraId="4DD4C2F8" w14:textId="77777777">
        <w:trPr>
          <w:cantSplit/>
          <w:tblHeader/>
        </w:trPr>
        <w:tc>
          <w:tcPr>
            <w:tcW w:w="1260" w:type="dxa"/>
            <w:tcBorders>
              <w:bottom w:val="single" w:sz="4" w:space="0" w:color="000000"/>
            </w:tcBorders>
            <w:vAlign w:val="center"/>
          </w:tcPr>
          <w:p w14:paraId="6FC2115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20FD12"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995EC0" w14:textId="77777777" w:rsidR="00460D43" w:rsidRDefault="00000000">
            <w:pPr>
              <w:spacing w:before="60" w:after="60"/>
              <w:rPr>
                <w:rFonts w:eastAsia="Calibri"/>
                <w:b/>
                <w:szCs w:val="24"/>
              </w:rPr>
            </w:pPr>
            <w:r>
              <w:rPr>
                <w:rFonts w:eastAsia="Calibri"/>
                <w:b/>
                <w:szCs w:val="24"/>
              </w:rPr>
              <w:t>Definition</w:t>
            </w:r>
          </w:p>
        </w:tc>
      </w:tr>
      <w:tr w:rsidR="003074B6" w14:paraId="7972FC2D" w14:textId="77777777">
        <w:trPr>
          <w:cantSplit/>
          <w:trHeight w:val="964"/>
        </w:trPr>
        <w:tc>
          <w:tcPr>
            <w:tcW w:w="1260" w:type="dxa"/>
            <w:tcBorders>
              <w:bottom w:val="single" w:sz="4" w:space="0" w:color="000000"/>
            </w:tcBorders>
            <w:shd w:val="clear" w:color="0066FF" w:fill="0000FF"/>
            <w:vAlign w:val="center"/>
          </w:tcPr>
          <w:p w14:paraId="76487F0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63F298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02A14F6"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074B6" w14:paraId="47D711A8" w14:textId="77777777">
        <w:trPr>
          <w:cantSplit/>
          <w:trHeight w:val="964"/>
        </w:trPr>
        <w:tc>
          <w:tcPr>
            <w:tcW w:w="1260" w:type="dxa"/>
            <w:shd w:val="clear" w:color="33CC33" w:fill="00FF00"/>
            <w:vAlign w:val="center"/>
          </w:tcPr>
          <w:p w14:paraId="4B41503F" w14:textId="77777777" w:rsidR="00460D43" w:rsidRDefault="00000000">
            <w:pPr>
              <w:spacing w:before="60" w:after="60"/>
              <w:rPr>
                <w:rFonts w:eastAsia="Calibri"/>
                <w:szCs w:val="24"/>
              </w:rPr>
            </w:pPr>
          </w:p>
        </w:tc>
        <w:tc>
          <w:tcPr>
            <w:tcW w:w="7095" w:type="dxa"/>
            <w:shd w:val="clear" w:color="auto" w:fill="auto"/>
            <w:vAlign w:val="center"/>
          </w:tcPr>
          <w:p w14:paraId="23B04B2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D3F7E24"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074B6" w14:paraId="4B88E46F" w14:textId="77777777">
        <w:trPr>
          <w:cantSplit/>
          <w:trHeight w:val="964"/>
        </w:trPr>
        <w:tc>
          <w:tcPr>
            <w:tcW w:w="1260" w:type="dxa"/>
            <w:tcBorders>
              <w:bottom w:val="single" w:sz="4" w:space="0" w:color="000000"/>
            </w:tcBorders>
            <w:shd w:val="clear" w:color="auto" w:fill="FFFF00"/>
            <w:vAlign w:val="center"/>
          </w:tcPr>
          <w:p w14:paraId="20CD270F" w14:textId="77777777" w:rsidR="00460D43" w:rsidRDefault="00000000">
            <w:pPr>
              <w:spacing w:before="60" w:after="60"/>
              <w:rPr>
                <w:rFonts w:eastAsia="Calibri"/>
                <w:szCs w:val="24"/>
              </w:rPr>
            </w:pPr>
          </w:p>
        </w:tc>
        <w:tc>
          <w:tcPr>
            <w:tcW w:w="7095" w:type="dxa"/>
            <w:shd w:val="clear" w:color="auto" w:fill="auto"/>
            <w:vAlign w:val="center"/>
          </w:tcPr>
          <w:p w14:paraId="796039C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B962EA8"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074B6" w14:paraId="715CBCC9" w14:textId="77777777">
        <w:trPr>
          <w:cantSplit/>
          <w:trHeight w:val="964"/>
        </w:trPr>
        <w:tc>
          <w:tcPr>
            <w:tcW w:w="1260" w:type="dxa"/>
            <w:tcBorders>
              <w:bottom w:val="single" w:sz="4" w:space="0" w:color="000000"/>
            </w:tcBorders>
            <w:shd w:val="clear" w:color="auto" w:fill="FFC800"/>
            <w:vAlign w:val="center"/>
          </w:tcPr>
          <w:p w14:paraId="5DB0447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3FC11B"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EDFF8E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074B6" w14:paraId="71DCC0BC" w14:textId="77777777">
        <w:trPr>
          <w:cantSplit/>
          <w:trHeight w:val="964"/>
        </w:trPr>
        <w:tc>
          <w:tcPr>
            <w:tcW w:w="1260" w:type="dxa"/>
            <w:shd w:val="clear" w:color="auto" w:fill="FF0000"/>
            <w:vAlign w:val="center"/>
          </w:tcPr>
          <w:p w14:paraId="0DC3696D" w14:textId="77777777" w:rsidR="00460D43" w:rsidRDefault="00000000">
            <w:pPr>
              <w:spacing w:before="60" w:after="60"/>
              <w:rPr>
                <w:rFonts w:eastAsia="Calibri"/>
                <w:szCs w:val="24"/>
              </w:rPr>
            </w:pPr>
          </w:p>
        </w:tc>
        <w:tc>
          <w:tcPr>
            <w:tcW w:w="7095" w:type="dxa"/>
            <w:shd w:val="clear" w:color="auto" w:fill="auto"/>
            <w:vAlign w:val="center"/>
          </w:tcPr>
          <w:p w14:paraId="1CB03E8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5CC42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CDAE695" w14:textId="77777777" w:rsidR="00460D43" w:rsidRDefault="00000000">
      <w:pPr>
        <w:pStyle w:val="Heading2"/>
        <w:spacing w:after="0"/>
        <w:rPr>
          <w:rFonts w:cs="Arial"/>
        </w:rPr>
      </w:pPr>
      <w:r>
        <w:rPr>
          <w:rFonts w:cs="Arial"/>
        </w:rPr>
        <w:t>General overview of the audit</w:t>
      </w:r>
    </w:p>
    <w:p w14:paraId="34CCA664" w14:textId="77777777" w:rsidR="00E536CC" w:rsidRDefault="00000000">
      <w:pPr>
        <w:spacing w:before="240" w:line="276" w:lineRule="auto"/>
        <w:rPr>
          <w:rFonts w:eastAsia="Calibri"/>
        </w:rPr>
      </w:pPr>
      <w:bookmarkStart w:id="13" w:name="GeneralOverview"/>
      <w:r w:rsidRPr="00A4268A">
        <w:rPr>
          <w:rFonts w:eastAsia="Calibri"/>
        </w:rPr>
        <w:t>Green Gables Rest Home and Hospital is part of Oceania Healthcare Limited. The facility is certified to provide services for up to 61 residents requiring rest home or hospital levels of care. The business care manager has been in the role for one month and is a RN with over 30 years aged care experience. This person has previous experience in the role of business care manager and had been supporting the previous business care manager since November 2023. Support is provided by the national operations manager and the clinical governance group. There were 49 residents in the facility on the first day of the audit.</w:t>
      </w:r>
    </w:p>
    <w:p w14:paraId="2A181003" w14:textId="77777777" w:rsidR="003074B6" w:rsidRPr="00A4268A" w:rsidRDefault="00000000">
      <w:pPr>
        <w:spacing w:before="240" w:line="276" w:lineRule="auto"/>
        <w:rPr>
          <w:rFonts w:eastAsia="Calibri"/>
        </w:rPr>
      </w:pPr>
      <w:r w:rsidRPr="00A4268A">
        <w:rPr>
          <w:rFonts w:eastAsia="Calibri"/>
        </w:rPr>
        <w:t xml:space="preserve">This certification audit process was conducted against Ngā Paerewa Health and Disability Services Standard NZS 8134:2021 and the contracts the service holds with Te Whatu Ora – Health New Zealand Nelson Marlborough (Te Whatu Ora Nelson Marlborough). It included review of policies and procedures, review of residents’ and staff files, observations, and interviews with residents and family, governance representatives, staff, physiotherapist, administrator, and a general practitioner. </w:t>
      </w:r>
    </w:p>
    <w:p w14:paraId="782B1A14" w14:textId="77777777" w:rsidR="003074B6" w:rsidRPr="00A4268A" w:rsidRDefault="00000000">
      <w:pPr>
        <w:spacing w:before="240" w:line="276" w:lineRule="auto"/>
        <w:rPr>
          <w:rFonts w:eastAsia="Calibri"/>
        </w:rPr>
      </w:pPr>
      <w:r w:rsidRPr="00A4268A">
        <w:rPr>
          <w:rFonts w:eastAsia="Calibri"/>
        </w:rPr>
        <w:t>Staff were observed to engage with residents in a culturally safe way.</w:t>
      </w:r>
    </w:p>
    <w:p w14:paraId="28946D0D" w14:textId="77777777" w:rsidR="003074B6" w:rsidRPr="00A4268A" w:rsidRDefault="00000000">
      <w:pPr>
        <w:spacing w:before="240" w:line="276" w:lineRule="auto"/>
        <w:rPr>
          <w:rFonts w:eastAsia="Calibri"/>
        </w:rPr>
      </w:pPr>
      <w:r w:rsidRPr="00A4268A">
        <w:rPr>
          <w:rFonts w:eastAsia="Calibri"/>
        </w:rPr>
        <w:t>There were no areas requiring improvement.</w:t>
      </w:r>
    </w:p>
    <w:bookmarkEnd w:id="13"/>
    <w:p w14:paraId="612841E5" w14:textId="77777777" w:rsidR="003074B6" w:rsidRPr="00A4268A" w:rsidRDefault="003074B6">
      <w:pPr>
        <w:spacing w:before="240" w:line="276" w:lineRule="auto"/>
        <w:rPr>
          <w:rFonts w:eastAsia="Calibri"/>
        </w:rPr>
      </w:pPr>
    </w:p>
    <w:p w14:paraId="6074D48B"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2484A9CA" w14:textId="77777777" w:rsidTr="00A4268A">
        <w:trPr>
          <w:cantSplit/>
        </w:trPr>
        <w:tc>
          <w:tcPr>
            <w:tcW w:w="10206" w:type="dxa"/>
            <w:vAlign w:val="center"/>
          </w:tcPr>
          <w:p w14:paraId="7D0AB6FA"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F1A96E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A1BB59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1353D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0726AE6" w14:textId="77777777" w:rsidR="00460D43" w:rsidRDefault="00000000">
      <w:pPr>
        <w:spacing w:before="240" w:line="276" w:lineRule="auto"/>
        <w:rPr>
          <w:rFonts w:eastAsia="Calibri"/>
        </w:rPr>
      </w:pPr>
      <w:bookmarkStart w:id="16" w:name="ConsumerRights"/>
      <w:r w:rsidRPr="00A4268A">
        <w:rPr>
          <w:rFonts w:eastAsia="Calibri"/>
        </w:rPr>
        <w:t>Oceania has a Māori and Pacific people’s health policy in place. The policy outlines Oceania’s commitment to Te Tiriti o Waitangi and Te Whare Tapa Whā model of care. Green Gables works collaboratively to support and encourage a Māori world view of health in service delivery. Māori are provided with equitable and effective services based on Te Tiriti o Waitangi and the principles of mana motuhake. Staff were observed to engage with residents in a culturally safe way. Care is provided in a way that focuses on the individual and considers values, beliefs, culture, religion, sexual orientation, and relationship status. Principles of mana motuhake practice were shown in service delivery.</w:t>
      </w:r>
    </w:p>
    <w:p w14:paraId="107BBC18" w14:textId="77777777" w:rsidR="003074B6" w:rsidRPr="00A4268A" w:rsidRDefault="00000000">
      <w:pPr>
        <w:spacing w:before="240" w:line="276" w:lineRule="auto"/>
        <w:rPr>
          <w:rFonts w:eastAsia="Calibri"/>
        </w:rPr>
      </w:pPr>
      <w:r w:rsidRPr="00A4268A">
        <w:rPr>
          <w:rFonts w:eastAsia="Calibri"/>
        </w:rPr>
        <w:t>The service provider is aware of the requirement to recruit and retain Māori and Pasifika in its workforce, the requirement to do this is embedded in policy and Oceania actively recruits Māori and Pasifika into its service where it is able.</w:t>
      </w:r>
    </w:p>
    <w:p w14:paraId="75EBA395" w14:textId="77777777" w:rsidR="003074B6" w:rsidRPr="00A4268A" w:rsidRDefault="00000000">
      <w:pPr>
        <w:spacing w:before="240" w:line="276" w:lineRule="auto"/>
        <w:rPr>
          <w:rFonts w:eastAsia="Calibri"/>
        </w:rPr>
      </w:pPr>
      <w:r w:rsidRPr="00A4268A">
        <w:rPr>
          <w:rFonts w:eastAsia="Calibri"/>
        </w:rPr>
        <w:t>Residents and their family are informed of their rights according to the Code of Health and Disability Services Consumers’ Rights (the Code) and these are upheld. Personal identity, independence, privacy, and dignity are respected and supported. Residents are safe from abuse.</w:t>
      </w:r>
    </w:p>
    <w:p w14:paraId="6BEF742D" w14:textId="77777777" w:rsidR="003074B6" w:rsidRPr="00A4268A" w:rsidRDefault="00000000">
      <w:pPr>
        <w:spacing w:before="240" w:line="276" w:lineRule="auto"/>
        <w:rPr>
          <w:rFonts w:eastAsia="Calibri"/>
        </w:rPr>
      </w:pPr>
      <w:r w:rsidRPr="00A4268A">
        <w:rPr>
          <w:rFonts w:eastAsia="Calibri"/>
        </w:rPr>
        <w:t>Residents and family receive information in an easy-to-understand format and felt listened to and included when making decisions about care and treatment. Open communication is practised. Interpreter services are provided as needed. Family and legal representatives are involved in decision-making that complies with the law. Advance directives are followed whenever possible.</w:t>
      </w:r>
    </w:p>
    <w:p w14:paraId="5C48D5A9" w14:textId="77777777" w:rsidR="003074B6" w:rsidRPr="00A4268A" w:rsidRDefault="00000000">
      <w:pPr>
        <w:spacing w:before="240" w:line="276" w:lineRule="auto"/>
        <w:rPr>
          <w:rFonts w:eastAsia="Calibri"/>
        </w:rPr>
      </w:pPr>
      <w:r w:rsidRPr="00A4268A">
        <w:rPr>
          <w:rFonts w:eastAsia="Calibri"/>
        </w:rPr>
        <w:t>Complaints are resolved promptly and effectively in collaboration with all parties involved.</w:t>
      </w:r>
    </w:p>
    <w:bookmarkEnd w:id="16"/>
    <w:p w14:paraId="7139A336" w14:textId="77777777" w:rsidR="003074B6" w:rsidRPr="00A4268A" w:rsidRDefault="003074B6">
      <w:pPr>
        <w:spacing w:before="240" w:line="276" w:lineRule="auto"/>
        <w:rPr>
          <w:rFonts w:eastAsia="Calibri"/>
        </w:rPr>
      </w:pPr>
    </w:p>
    <w:p w14:paraId="4B374142"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135280C3" w14:textId="77777777" w:rsidTr="00A4268A">
        <w:trPr>
          <w:cantSplit/>
        </w:trPr>
        <w:tc>
          <w:tcPr>
            <w:tcW w:w="10206" w:type="dxa"/>
            <w:vAlign w:val="center"/>
          </w:tcPr>
          <w:p w14:paraId="21CF578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A5D5B4A"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83F4C8"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F228617" w14:textId="77777777" w:rsidR="00460D43" w:rsidRDefault="00000000">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Green Gables. Consultation with Māori is occurring at governance level, honouring Te Tiriti and reducing barriers to improve outcomes for Māori and people with disabilities.</w:t>
      </w:r>
    </w:p>
    <w:p w14:paraId="4A7F049C" w14:textId="77777777" w:rsidR="003074B6" w:rsidRPr="00A4268A" w:rsidRDefault="0000000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according to predetermined schedules.</w:t>
      </w:r>
    </w:p>
    <w:p w14:paraId="05E0AFDD" w14:textId="77777777" w:rsidR="003074B6"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Residents and family provide regular feedback, and staff are involved in quality activities. Actual and potential risks are identified and mitigated.</w:t>
      </w:r>
    </w:p>
    <w:p w14:paraId="17C766F0" w14:textId="77777777" w:rsidR="003074B6"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57C4BAC3" w14:textId="77777777" w:rsidR="003074B6" w:rsidRPr="00A4268A" w:rsidRDefault="00000000">
      <w:pPr>
        <w:spacing w:before="240" w:line="276" w:lineRule="auto"/>
        <w:rPr>
          <w:rFonts w:eastAsia="Calibri"/>
        </w:rPr>
      </w:pPr>
      <w:r w:rsidRPr="00A4268A">
        <w:rPr>
          <w:rFonts w:eastAsia="Calibri"/>
        </w:rPr>
        <w:t>An integrated approach includes collection and analysis of quality improvement data, the identification of trends leading to improvements, with data benchmarked internally and to other Oceania facilities nationwide.</w:t>
      </w:r>
    </w:p>
    <w:p w14:paraId="313D9FCF" w14:textId="77777777" w:rsidR="003074B6"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Care staff have access to New Zealand Qualifications Authority (NZQA) approved health and wellbeing courses.</w:t>
      </w:r>
    </w:p>
    <w:p w14:paraId="2428A14A" w14:textId="77777777" w:rsidR="003074B6" w:rsidRPr="00A4268A" w:rsidRDefault="0000000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45C06C99" w14:textId="77777777" w:rsidR="003074B6" w:rsidRPr="00A4268A" w:rsidRDefault="003074B6">
      <w:pPr>
        <w:spacing w:before="240" w:line="276" w:lineRule="auto"/>
        <w:rPr>
          <w:rFonts w:eastAsia="Calibri"/>
        </w:rPr>
      </w:pPr>
    </w:p>
    <w:p w14:paraId="021305D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1347F20D" w14:textId="77777777" w:rsidTr="00A4268A">
        <w:trPr>
          <w:cantSplit/>
        </w:trPr>
        <w:tc>
          <w:tcPr>
            <w:tcW w:w="10206" w:type="dxa"/>
            <w:vAlign w:val="center"/>
          </w:tcPr>
          <w:p w14:paraId="2ED313C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2AA352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C6CA34"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A1DA94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entry to service process is managed efficiently. There is an electronic system for entry to services. Residents are assessed before entry to the service to confirm their level of care.</w:t>
      </w:r>
    </w:p>
    <w:p w14:paraId="6EF4BADF" w14:textId="77777777" w:rsidR="003074B6" w:rsidRPr="00A4268A" w:rsidRDefault="00000000" w:rsidP="00621629">
      <w:pPr>
        <w:spacing w:before="240" w:line="276" w:lineRule="auto"/>
        <w:rPr>
          <w:rFonts w:eastAsia="Calibri"/>
        </w:rPr>
      </w:pPr>
      <w:r w:rsidRPr="00A4268A">
        <w:rPr>
          <w:rFonts w:eastAsia="Calibri"/>
        </w:rPr>
        <w:t>When people enter the service, a person-centred and family-centred approach is adopted. Relevant information is provided to the potential resident and their family.</w:t>
      </w:r>
    </w:p>
    <w:p w14:paraId="3DB1FD4A" w14:textId="77777777" w:rsidR="003074B6" w:rsidRPr="00A4268A" w:rsidRDefault="00000000" w:rsidP="00621629">
      <w:pPr>
        <w:spacing w:before="240" w:line="276" w:lineRule="auto"/>
        <w:rPr>
          <w:rFonts w:eastAsia="Calibri"/>
        </w:rPr>
      </w:pPr>
      <w:r w:rsidRPr="00A4268A">
        <w:rPr>
          <w:rFonts w:eastAsia="Calibri"/>
        </w:rPr>
        <w:t>The service works in partnership with the residents and their family to assess, plan and evaluate care. The registered nurses (RNs) are responsible for the assessment, development and evaluation of care plans. Care plans are individualised, based on comprehensive information, and accommodate any new problems that might arise. Files reviewed demonstrated that care meets the needs of residents and family and is evaluated on a regular and timely basis.</w:t>
      </w:r>
    </w:p>
    <w:p w14:paraId="704ED885" w14:textId="77777777" w:rsidR="003074B6"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 Activity plans are completed in consultation with residents, their family, and with staff. Residents and family expressed satisfaction with the activities programme in place.</w:t>
      </w:r>
    </w:p>
    <w:p w14:paraId="1BD561F3" w14:textId="77777777" w:rsidR="003074B6" w:rsidRPr="00A4268A" w:rsidRDefault="00000000" w:rsidP="00621629">
      <w:pPr>
        <w:spacing w:before="240" w:line="276" w:lineRule="auto"/>
        <w:rPr>
          <w:rFonts w:eastAsia="Calibri"/>
        </w:rPr>
      </w:pPr>
      <w:r w:rsidRPr="00A4268A">
        <w:rPr>
          <w:rFonts w:eastAsia="Calibri"/>
        </w:rPr>
        <w:t>There is a medicine management system in place. Medicines are safely managed and administered by staff who are competent to do so. The organisation uses an electronic system in prescribing, dispensing and administration of medications. The general practitioner (GP) is responsible for all medication reviews. There are policies and procedures that describe medication management that align with accepted guidelines.</w:t>
      </w:r>
    </w:p>
    <w:p w14:paraId="641B7606" w14:textId="77777777" w:rsidR="003074B6" w:rsidRPr="00A4268A" w:rsidRDefault="00000000" w:rsidP="00621629">
      <w:pPr>
        <w:spacing w:before="240" w:line="276" w:lineRule="auto"/>
        <w:rPr>
          <w:rFonts w:eastAsia="Calibri"/>
        </w:rPr>
      </w:pPr>
      <w:r w:rsidRPr="00A4268A">
        <w:rPr>
          <w:rFonts w:eastAsia="Calibri"/>
        </w:rPr>
        <w:t>The food service meets the nutritional needs of the residents, with special cultural needs catered for, including foods relevant to te ao Māori if the need is identified. Food is safely managed. Residents verified satisfaction with meals.</w:t>
      </w:r>
    </w:p>
    <w:p w14:paraId="0C8BC0B7" w14:textId="77777777" w:rsidR="003074B6" w:rsidRPr="00A4268A" w:rsidRDefault="00000000"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686CDB9C" w14:textId="77777777" w:rsidR="003074B6" w:rsidRPr="00A4268A" w:rsidRDefault="003074B6" w:rsidP="00621629">
      <w:pPr>
        <w:spacing w:before="240" w:line="276" w:lineRule="auto"/>
        <w:rPr>
          <w:rFonts w:eastAsia="Calibri"/>
        </w:rPr>
      </w:pPr>
    </w:p>
    <w:p w14:paraId="3331D32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04FA0E40" w14:textId="77777777" w:rsidTr="00A4268A">
        <w:trPr>
          <w:cantSplit/>
        </w:trPr>
        <w:tc>
          <w:tcPr>
            <w:tcW w:w="10206" w:type="dxa"/>
            <w:vAlign w:val="center"/>
          </w:tcPr>
          <w:p w14:paraId="197F479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2E9D7A0"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01ED5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8016E37"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maintained. There is a current building warrant of fitness. Electrical and biomedical equipment has been checked and assessed as required. Internal and external areas are accessible and safe and meet the needs of people with disabilities, and external areas have shade and seating provided.</w:t>
      </w:r>
    </w:p>
    <w:p w14:paraId="39EDF9F7" w14:textId="77777777" w:rsidR="003074B6"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 understood emergency and security arrangements. Residents reported a timely staff response to call bells. Security is maintained.</w:t>
      </w:r>
    </w:p>
    <w:bookmarkEnd w:id="25"/>
    <w:p w14:paraId="799B453B" w14:textId="77777777" w:rsidR="003074B6" w:rsidRPr="00A4268A" w:rsidRDefault="003074B6">
      <w:pPr>
        <w:spacing w:before="240" w:line="276" w:lineRule="auto"/>
        <w:rPr>
          <w:rFonts w:eastAsia="Calibri"/>
        </w:rPr>
      </w:pPr>
    </w:p>
    <w:p w14:paraId="54BBD3BB"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5CEC18D2" w14:textId="77777777" w:rsidTr="00A4268A">
        <w:trPr>
          <w:cantSplit/>
        </w:trPr>
        <w:tc>
          <w:tcPr>
            <w:tcW w:w="10206" w:type="dxa"/>
            <w:vAlign w:val="center"/>
          </w:tcPr>
          <w:p w14:paraId="44B68AF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9FE245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C5B637"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8811D02"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clinical governance team oversees implementation of the infection prevention and control programme, which is linked to the quality management system. Annual reviews of the programme are reported to the governance board, as are any significant infection events.</w:t>
      </w:r>
    </w:p>
    <w:p w14:paraId="3C42C512" w14:textId="77777777" w:rsidR="003074B6" w:rsidRPr="00A4268A" w:rsidRDefault="00000000">
      <w:pPr>
        <w:spacing w:before="240" w:line="276" w:lineRule="auto"/>
        <w:rPr>
          <w:rFonts w:eastAsia="Calibri"/>
        </w:rPr>
      </w:pPr>
      <w:r w:rsidRPr="00A4268A">
        <w:rPr>
          <w:rFonts w:eastAsia="Calibri"/>
        </w:rPr>
        <w:t>The implemented infection prevention (IP) programme and antimicrobial stewardship (AMS) programme is appropriate to the size and complexity of the service. It is adequately resourced. The infection control coordinator is a registered nurse who is involved in procurement processes, any facility changes, and processes related to decontamination of reusable devices.</w:t>
      </w:r>
    </w:p>
    <w:p w14:paraId="688F1A3B" w14:textId="77777777" w:rsidR="003074B6" w:rsidRPr="00A4268A" w:rsidRDefault="00000000">
      <w:pPr>
        <w:spacing w:before="240" w:line="276" w:lineRule="auto"/>
        <w:rPr>
          <w:rFonts w:eastAsia="Calibri"/>
        </w:rPr>
      </w:pPr>
      <w:r w:rsidRPr="00A4268A">
        <w:rPr>
          <w:rFonts w:eastAsia="Calibri"/>
        </w:rPr>
        <w:t>Staff demonstrated good principles and practice around infection control. Staff, residents and family were familiar with the pandemic/infectious diseases response plan.</w:t>
      </w:r>
    </w:p>
    <w:p w14:paraId="54EE2957" w14:textId="77777777" w:rsidR="003074B6" w:rsidRPr="00A4268A" w:rsidRDefault="00000000">
      <w:pPr>
        <w:spacing w:before="240" w:line="276" w:lineRule="auto"/>
        <w:rPr>
          <w:rFonts w:eastAsia="Calibri"/>
        </w:rPr>
      </w:pPr>
      <w:r w:rsidRPr="00A4268A">
        <w:rPr>
          <w:rFonts w:eastAsia="Calibri"/>
        </w:rPr>
        <w:t>Aged care specific infection surveillance is undertaken, with follow-up action taken as required, and with results shared with staff.</w:t>
      </w:r>
    </w:p>
    <w:p w14:paraId="4FB4DBA0" w14:textId="77777777" w:rsidR="003074B6" w:rsidRPr="00A4268A" w:rsidRDefault="00000000">
      <w:pPr>
        <w:spacing w:before="240" w:line="276" w:lineRule="auto"/>
        <w:rPr>
          <w:rFonts w:eastAsia="Calibri"/>
        </w:rPr>
      </w:pPr>
      <w:r w:rsidRPr="00A4268A">
        <w:rPr>
          <w:rFonts w:eastAsia="Calibri"/>
        </w:rPr>
        <w:t>The environment supports both prevention and mitigation of transmission of infections. Waste and hazardous substances are well managed. There are safe and effective cleaning and laundry services.</w:t>
      </w:r>
    </w:p>
    <w:bookmarkEnd w:id="28"/>
    <w:p w14:paraId="685A6DFA" w14:textId="77777777" w:rsidR="003074B6" w:rsidRPr="00A4268A" w:rsidRDefault="003074B6">
      <w:pPr>
        <w:spacing w:before="240" w:line="276" w:lineRule="auto"/>
        <w:rPr>
          <w:rFonts w:eastAsia="Calibri"/>
        </w:rPr>
      </w:pPr>
    </w:p>
    <w:p w14:paraId="7039FC64"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B6" w14:paraId="675442CA" w14:textId="77777777" w:rsidTr="00A4268A">
        <w:trPr>
          <w:cantSplit/>
        </w:trPr>
        <w:tc>
          <w:tcPr>
            <w:tcW w:w="10206" w:type="dxa"/>
            <w:vAlign w:val="center"/>
          </w:tcPr>
          <w:p w14:paraId="7B9469B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7A9303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AC26A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69322F7"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leads the process.</w:t>
      </w:r>
    </w:p>
    <w:p w14:paraId="75B12C07" w14:textId="77777777" w:rsidR="003074B6" w:rsidRPr="00A4268A" w:rsidRDefault="00000000">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28F301A1" w14:textId="77777777" w:rsidR="003074B6" w:rsidRPr="00A4268A" w:rsidRDefault="003074B6">
      <w:pPr>
        <w:spacing w:before="240" w:line="276" w:lineRule="auto"/>
        <w:rPr>
          <w:rFonts w:eastAsia="Calibri"/>
        </w:rPr>
      </w:pPr>
    </w:p>
    <w:p w14:paraId="0D924559" w14:textId="77777777" w:rsidR="00460D43" w:rsidRDefault="00000000" w:rsidP="000E6E02">
      <w:pPr>
        <w:pStyle w:val="Heading2"/>
        <w:spacing w:before="0"/>
        <w:rPr>
          <w:rFonts w:cs="Arial"/>
        </w:rPr>
      </w:pPr>
      <w:r>
        <w:rPr>
          <w:rFonts w:cs="Arial"/>
        </w:rPr>
        <w:t>Summary of attainment</w:t>
      </w:r>
    </w:p>
    <w:p w14:paraId="3F7B223A"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074B6" w14:paraId="32149D19" w14:textId="77777777">
        <w:tc>
          <w:tcPr>
            <w:tcW w:w="1384" w:type="dxa"/>
            <w:vAlign w:val="center"/>
          </w:tcPr>
          <w:p w14:paraId="71DCDC1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0F35F94" w14:textId="77777777" w:rsidR="00460D43" w:rsidRDefault="00000000">
            <w:pPr>
              <w:keepNext/>
              <w:spacing w:before="60" w:after="60"/>
              <w:jc w:val="center"/>
              <w:rPr>
                <w:rFonts w:cs="Arial"/>
                <w:b/>
                <w:sz w:val="20"/>
                <w:szCs w:val="20"/>
              </w:rPr>
            </w:pPr>
            <w:r>
              <w:rPr>
                <w:rFonts w:cs="Arial"/>
                <w:b/>
                <w:sz w:val="20"/>
                <w:szCs w:val="20"/>
              </w:rPr>
              <w:t>Continuous Improvement</w:t>
            </w:r>
          </w:p>
          <w:p w14:paraId="53A67DB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531C43A" w14:textId="77777777" w:rsidR="00460D43" w:rsidRDefault="00000000">
            <w:pPr>
              <w:keepNext/>
              <w:spacing w:before="60" w:after="60"/>
              <w:jc w:val="center"/>
              <w:rPr>
                <w:rFonts w:cs="Arial"/>
                <w:b/>
                <w:sz w:val="20"/>
                <w:szCs w:val="20"/>
              </w:rPr>
            </w:pPr>
            <w:r>
              <w:rPr>
                <w:rFonts w:cs="Arial"/>
                <w:b/>
                <w:sz w:val="20"/>
                <w:szCs w:val="20"/>
              </w:rPr>
              <w:t>Fully Attained</w:t>
            </w:r>
          </w:p>
          <w:p w14:paraId="5141AA6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F3225C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1DF20C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7F9269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C4A66D0"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D57325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53352A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CF7A89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40B785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7150A2F"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D347FB9" w14:textId="77777777" w:rsidR="00460D43" w:rsidRDefault="00000000">
            <w:pPr>
              <w:keepNext/>
              <w:spacing w:before="60" w:after="60"/>
              <w:jc w:val="center"/>
              <w:rPr>
                <w:rFonts w:cs="Arial"/>
                <w:b/>
                <w:sz w:val="20"/>
                <w:szCs w:val="20"/>
              </w:rPr>
            </w:pPr>
            <w:r>
              <w:rPr>
                <w:rFonts w:cs="Arial"/>
                <w:b/>
                <w:sz w:val="20"/>
                <w:szCs w:val="20"/>
              </w:rPr>
              <w:t>(PA Critical)</w:t>
            </w:r>
          </w:p>
        </w:tc>
      </w:tr>
      <w:tr w:rsidR="003074B6" w14:paraId="50F03E18" w14:textId="77777777">
        <w:tc>
          <w:tcPr>
            <w:tcW w:w="1384" w:type="dxa"/>
            <w:vAlign w:val="center"/>
          </w:tcPr>
          <w:p w14:paraId="5BDB871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FDA9AB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6DD65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0C39C9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5C4646"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009BFB"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86CE10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00775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074B6" w14:paraId="2133030A" w14:textId="77777777">
        <w:tc>
          <w:tcPr>
            <w:tcW w:w="1384" w:type="dxa"/>
            <w:vAlign w:val="center"/>
          </w:tcPr>
          <w:p w14:paraId="2B8AFCC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E0F506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8B720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CA259C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B59E11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21DB827"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92E86D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F885D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08552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074B6" w14:paraId="7D4D4BB3" w14:textId="77777777">
        <w:tc>
          <w:tcPr>
            <w:tcW w:w="1384" w:type="dxa"/>
            <w:vAlign w:val="center"/>
          </w:tcPr>
          <w:p w14:paraId="03B672D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96036C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B229BF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9C5BECE" w14:textId="77777777" w:rsidR="00460D43" w:rsidRDefault="00000000">
            <w:pPr>
              <w:keepNext/>
              <w:spacing w:before="60" w:after="60"/>
              <w:jc w:val="center"/>
              <w:rPr>
                <w:rFonts w:cs="Arial"/>
                <w:b/>
                <w:sz w:val="20"/>
                <w:szCs w:val="20"/>
              </w:rPr>
            </w:pPr>
            <w:r>
              <w:rPr>
                <w:rFonts w:cs="Arial"/>
                <w:b/>
                <w:sz w:val="20"/>
                <w:szCs w:val="20"/>
              </w:rPr>
              <w:t>Unattained Low Risk</w:t>
            </w:r>
          </w:p>
          <w:p w14:paraId="02358C2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B4F5BAF" w14:textId="77777777" w:rsidR="00460D43" w:rsidRDefault="00000000">
            <w:pPr>
              <w:keepNext/>
              <w:spacing w:before="60" w:after="60"/>
              <w:jc w:val="center"/>
              <w:rPr>
                <w:rFonts w:cs="Arial"/>
                <w:b/>
                <w:sz w:val="20"/>
                <w:szCs w:val="20"/>
              </w:rPr>
            </w:pPr>
            <w:r>
              <w:rPr>
                <w:rFonts w:cs="Arial"/>
                <w:b/>
                <w:sz w:val="20"/>
                <w:szCs w:val="20"/>
              </w:rPr>
              <w:t>Unattained Moderate Risk</w:t>
            </w:r>
          </w:p>
          <w:p w14:paraId="0E7D316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3DD0B51" w14:textId="77777777" w:rsidR="00460D43" w:rsidRDefault="00000000">
            <w:pPr>
              <w:keepNext/>
              <w:spacing w:before="60" w:after="60"/>
              <w:jc w:val="center"/>
              <w:rPr>
                <w:rFonts w:cs="Arial"/>
                <w:b/>
                <w:sz w:val="20"/>
                <w:szCs w:val="20"/>
              </w:rPr>
            </w:pPr>
            <w:r>
              <w:rPr>
                <w:rFonts w:cs="Arial"/>
                <w:b/>
                <w:sz w:val="20"/>
                <w:szCs w:val="20"/>
              </w:rPr>
              <w:t>Unattained High Risk</w:t>
            </w:r>
          </w:p>
          <w:p w14:paraId="0208068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8EF5CA9" w14:textId="77777777" w:rsidR="00460D43" w:rsidRDefault="00000000">
            <w:pPr>
              <w:keepNext/>
              <w:spacing w:before="60" w:after="60"/>
              <w:jc w:val="center"/>
              <w:rPr>
                <w:rFonts w:cs="Arial"/>
                <w:b/>
                <w:sz w:val="20"/>
                <w:szCs w:val="20"/>
              </w:rPr>
            </w:pPr>
            <w:r>
              <w:rPr>
                <w:rFonts w:cs="Arial"/>
                <w:b/>
                <w:sz w:val="20"/>
                <w:szCs w:val="20"/>
              </w:rPr>
              <w:t>Unattained Critical Risk</w:t>
            </w:r>
          </w:p>
          <w:p w14:paraId="61C27D49" w14:textId="77777777" w:rsidR="00460D43" w:rsidRDefault="00000000">
            <w:pPr>
              <w:keepNext/>
              <w:spacing w:before="60" w:after="60"/>
              <w:jc w:val="center"/>
              <w:rPr>
                <w:rFonts w:cs="Arial"/>
                <w:b/>
                <w:sz w:val="20"/>
                <w:szCs w:val="20"/>
              </w:rPr>
            </w:pPr>
            <w:r>
              <w:rPr>
                <w:rFonts w:cs="Arial"/>
                <w:b/>
                <w:sz w:val="20"/>
                <w:szCs w:val="20"/>
              </w:rPr>
              <w:t>(UA Critical)</w:t>
            </w:r>
          </w:p>
        </w:tc>
      </w:tr>
      <w:tr w:rsidR="003074B6" w14:paraId="78283F15" w14:textId="77777777">
        <w:tc>
          <w:tcPr>
            <w:tcW w:w="1384" w:type="dxa"/>
            <w:vAlign w:val="center"/>
          </w:tcPr>
          <w:p w14:paraId="195DFC0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59B597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C3DC6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BEC5CA0"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5AA38E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56849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074B6" w14:paraId="4475134C" w14:textId="77777777">
        <w:tc>
          <w:tcPr>
            <w:tcW w:w="1384" w:type="dxa"/>
            <w:vAlign w:val="center"/>
          </w:tcPr>
          <w:p w14:paraId="3B09005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35FD3D0"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E4DBF35"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AD3CA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BFBC761"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1C946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A721E1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6F8CC7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1C7E97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D54289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1356"/>
        <w:gridCol w:w="6562"/>
      </w:tblGrid>
      <w:tr w:rsidR="003074B6" w14:paraId="3A248D94" w14:textId="77777777">
        <w:tc>
          <w:tcPr>
            <w:tcW w:w="0" w:type="auto"/>
          </w:tcPr>
          <w:p w14:paraId="40A6D34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04D04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B7A43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074B6" w14:paraId="6015D796" w14:textId="77777777">
        <w:tc>
          <w:tcPr>
            <w:tcW w:w="0" w:type="auto"/>
          </w:tcPr>
          <w:p w14:paraId="275843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01AC75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E5D99A4" w14:textId="77777777" w:rsidR="00EB7645" w:rsidRPr="00BE00C7" w:rsidRDefault="00000000" w:rsidP="00BE00C7">
            <w:pPr>
              <w:pStyle w:val="OutcomeDescription"/>
              <w:spacing w:before="120" w:after="120"/>
              <w:rPr>
                <w:rFonts w:cs="Arial"/>
                <w:lang w:eastAsia="en-NZ"/>
              </w:rPr>
            </w:pPr>
          </w:p>
        </w:tc>
        <w:tc>
          <w:tcPr>
            <w:tcW w:w="0" w:type="auto"/>
          </w:tcPr>
          <w:p w14:paraId="07DBDD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DDC1EA"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 fulfils its obligations and responsibilities under Te Tiriti o Waitangi. The health plan references the Ministry of Health’s Whakamaua Māori Health Action Plan 2020-2025. The policy and plan address tino rangatiratanga, equity, partnership, Te Whare Tapa Whā model of health, tikanga, and use of te reo Māori in its facilities. A culturally competent services policy has a section on supporting residents who identify as Māori and reiterates aspects of the Māori and Pacific peoples’ health policy and plan as per the requirements of the Ngā Paerewa standard.</w:t>
            </w:r>
          </w:p>
          <w:p w14:paraId="0E64E84E"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care plan has been developed with input from cultural advisers (Ngāti Hine – Ngāpuhi) and this can be used at Green Gables should any residents identify as Māori. Residents are involved in providing input into their care planning, activities, and dietary needs. There were no residents or staff who identified as Māori present during the audit. Family who were interviewed were comfortable at the facility and expressed feelings and experiences that are consistent with cultural safety, confirming that mana motuhake is respected.</w:t>
            </w:r>
          </w:p>
          <w:p w14:paraId="5030B7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supports increasing Māori capacity by employing more Māori staff members across differing levels of the organisation as vacancies and applications for employment permit. Ethnicity data is gathered when staff are employed, and this data is analysed at a management and organisational level. </w:t>
            </w:r>
          </w:p>
          <w:p w14:paraId="780DC7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links for Māori health support through Te Whatu Ora Nelson Marlborough and through Whakatū Marae. Staff confirmed they have received cultural training.</w:t>
            </w:r>
          </w:p>
          <w:p w14:paraId="43A30579" w14:textId="77777777" w:rsidR="00EB7645" w:rsidRPr="00BE00C7" w:rsidRDefault="00000000" w:rsidP="00BE00C7">
            <w:pPr>
              <w:pStyle w:val="OutcomeDescription"/>
              <w:spacing w:before="120" w:after="120"/>
              <w:rPr>
                <w:rFonts w:cs="Arial"/>
                <w:lang w:eastAsia="en-NZ"/>
              </w:rPr>
            </w:pPr>
          </w:p>
        </w:tc>
      </w:tr>
      <w:tr w:rsidR="003074B6" w14:paraId="0E672FFD" w14:textId="77777777">
        <w:tc>
          <w:tcPr>
            <w:tcW w:w="0" w:type="auto"/>
          </w:tcPr>
          <w:p w14:paraId="40FC6D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EF485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5AAB8C8" w14:textId="77777777" w:rsidR="00EB7645" w:rsidRPr="00BE00C7" w:rsidRDefault="00000000" w:rsidP="00BE00C7">
            <w:pPr>
              <w:pStyle w:val="OutcomeDescription"/>
              <w:spacing w:before="120" w:after="120"/>
              <w:rPr>
                <w:rFonts w:cs="Arial"/>
                <w:lang w:eastAsia="en-NZ"/>
              </w:rPr>
            </w:pPr>
          </w:p>
        </w:tc>
        <w:tc>
          <w:tcPr>
            <w:tcW w:w="0" w:type="auto"/>
          </w:tcPr>
          <w:p w14:paraId="317FBA6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1E00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will respond to the cultural needs of Pasifika residents. The document notes the need to embrace cultural and spiritual beliefs; it is based on the Manatū Hauora (Ministry of Health) Ola Manuia Pacific Health and Wellbeing Action Plan 2020 and outlines the Fonofale model of care to guide care for Pacific peoples. There were no residents who identified as Pasifika in the facility on the days of audit.</w:t>
            </w:r>
          </w:p>
          <w:p w14:paraId="7604BE47"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residents and their family confirmed that services were being delivered in a culturally appropriate way. Green Gables can access support should there be any Pasifika residents in their service through local churches in the area. The Nelson Tasman Pasifika Community Trust is accessible if required. The business care manager (BCM) has contacts through Red Cross who can also provide support and guidance.</w:t>
            </w:r>
          </w:p>
          <w:p w14:paraId="2F049C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policy in place to support increasing Pasifika service capacity by employing more Pasifika staff members across differing levels of the organisation as vacancies and applications for employment permit. Ethnicity data is gathered when staff are employed, and this data is analysed at a management and organisational level. There were no staff who identified as Pasifika in the service at the time of audit.</w:t>
            </w:r>
          </w:p>
          <w:p w14:paraId="5F0643E2" w14:textId="77777777" w:rsidR="00EB7645" w:rsidRPr="00BE00C7" w:rsidRDefault="00000000" w:rsidP="00BE00C7">
            <w:pPr>
              <w:pStyle w:val="OutcomeDescription"/>
              <w:spacing w:before="120" w:after="120"/>
              <w:rPr>
                <w:rFonts w:cs="Arial"/>
                <w:lang w:eastAsia="en-NZ"/>
              </w:rPr>
            </w:pPr>
          </w:p>
        </w:tc>
      </w:tr>
      <w:tr w:rsidR="003074B6" w14:paraId="0B9AC9CB" w14:textId="77777777">
        <w:tc>
          <w:tcPr>
            <w:tcW w:w="0" w:type="auto"/>
          </w:tcPr>
          <w:p w14:paraId="27A8AC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CE29E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CF5F7BA" w14:textId="77777777" w:rsidR="00EB7645" w:rsidRPr="00BE00C7" w:rsidRDefault="00000000" w:rsidP="00BE00C7">
            <w:pPr>
              <w:pStyle w:val="OutcomeDescription"/>
              <w:spacing w:before="120" w:after="120"/>
              <w:rPr>
                <w:rFonts w:cs="Arial"/>
                <w:lang w:eastAsia="en-NZ"/>
              </w:rPr>
            </w:pPr>
          </w:p>
        </w:tc>
        <w:tc>
          <w:tcPr>
            <w:tcW w:w="0" w:type="auto"/>
          </w:tcPr>
          <w:p w14:paraId="332D7A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B507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available and on display at Green Gables in prominent </w:t>
            </w:r>
            <w:r w:rsidRPr="00BE00C7">
              <w:rPr>
                <w:rFonts w:cs="Arial"/>
                <w:lang w:eastAsia="en-NZ"/>
              </w:rPr>
              <w:lastRenderedPageBreak/>
              <w:t>locations throughout the facility. Residents identifying as Māori who potentially enter the facility will have mana motuhake recognised and respected.</w:t>
            </w:r>
          </w:p>
          <w:p w14:paraId="25FB51E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were observed supporting residents in accordance with their individual needs and wishes. Education for staff on this topic was undertaken in February 2024.</w:t>
            </w:r>
          </w:p>
          <w:p w14:paraId="3581A96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 interviewed reported being made aware of the Code and the Nationwide Health and Disability Advocacy Service (Advocacy Service) and were provided with opportunities to discuss and clarify their rights.</w:t>
            </w:r>
          </w:p>
          <w:p w14:paraId="4A4D1E93" w14:textId="77777777" w:rsidR="00EB7645" w:rsidRPr="00BE00C7" w:rsidRDefault="00000000" w:rsidP="00BE00C7">
            <w:pPr>
              <w:pStyle w:val="OutcomeDescription"/>
              <w:spacing w:before="120" w:after="120"/>
              <w:rPr>
                <w:rFonts w:cs="Arial"/>
                <w:lang w:eastAsia="en-NZ"/>
              </w:rPr>
            </w:pPr>
          </w:p>
        </w:tc>
      </w:tr>
      <w:tr w:rsidR="003074B6" w14:paraId="5DE0AF79" w14:textId="77777777">
        <w:tc>
          <w:tcPr>
            <w:tcW w:w="0" w:type="auto"/>
          </w:tcPr>
          <w:p w14:paraId="4C3C22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A0FD2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C1836B5" w14:textId="77777777" w:rsidR="00EB7645" w:rsidRPr="00BE00C7" w:rsidRDefault="00000000" w:rsidP="00BE00C7">
            <w:pPr>
              <w:pStyle w:val="OutcomeDescription"/>
              <w:spacing w:before="120" w:after="120"/>
              <w:rPr>
                <w:rFonts w:cs="Arial"/>
                <w:lang w:eastAsia="en-NZ"/>
              </w:rPr>
            </w:pPr>
          </w:p>
        </w:tc>
        <w:tc>
          <w:tcPr>
            <w:tcW w:w="0" w:type="auto"/>
          </w:tcPr>
          <w:p w14:paraId="17F784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B0D43A"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confirmed that the service supports residents in a way that is inclusive and respects their identity and experiences. Residents and family confirmed that they had received services in a manner that has regard for their culture, religion, dignity and their individual social identities and characteristics. Processes were in place to assess individual resident needs during admission and ongoing care planning and review processes. The clinical manager (CM) reported that residents are supported to maintain their independence by staff through daily activities, and examples of this included resident-led activities, and individualised mealtimes if desired. Residents were able to move freely within and outside the facility.</w:t>
            </w:r>
          </w:p>
          <w:p w14:paraId="53CA628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Green Gables completed training on Te Tiriti o Waitangi in June 2024. Interviews verified staff understood what Te Tiriti o Waitangi meant to their practice.</w:t>
            </w:r>
          </w:p>
          <w:p w14:paraId="16339EE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Residents all had their own rooms.</w:t>
            </w:r>
          </w:p>
          <w:p w14:paraId="5562E78B"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are promoted within the service through staff education. Staff attention to meeting tikanga needs of residents was evident in care plans and policies and procedures reviewed. Residents and family reported their values, beliefs and language were respected by staff. Signage and posters in the facility with key information were in English and te reo Māori, and New Zealand Sign Language (NZSL).</w:t>
            </w:r>
          </w:p>
          <w:p w14:paraId="4E59961D" w14:textId="77777777" w:rsidR="00EB7645" w:rsidRPr="00BE00C7" w:rsidRDefault="00000000" w:rsidP="00BE00C7">
            <w:pPr>
              <w:pStyle w:val="OutcomeDescription"/>
              <w:spacing w:before="120" w:after="120"/>
              <w:rPr>
                <w:rFonts w:cs="Arial"/>
                <w:lang w:eastAsia="en-NZ"/>
              </w:rPr>
            </w:pPr>
          </w:p>
        </w:tc>
      </w:tr>
      <w:tr w:rsidR="003074B6" w14:paraId="0200B538" w14:textId="77777777">
        <w:tc>
          <w:tcPr>
            <w:tcW w:w="0" w:type="auto"/>
          </w:tcPr>
          <w:p w14:paraId="0FB8A6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9C8F1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CE7EB0A" w14:textId="77777777" w:rsidR="00EB7645" w:rsidRPr="00BE00C7" w:rsidRDefault="00000000" w:rsidP="00BE00C7">
            <w:pPr>
              <w:pStyle w:val="OutcomeDescription"/>
              <w:spacing w:before="120" w:after="120"/>
              <w:rPr>
                <w:rFonts w:cs="Arial"/>
                <w:lang w:eastAsia="en-NZ"/>
              </w:rPr>
            </w:pPr>
          </w:p>
        </w:tc>
        <w:tc>
          <w:tcPr>
            <w:tcW w:w="0" w:type="auto"/>
          </w:tcPr>
          <w:p w14:paraId="1830D4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5A9B14"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Oceania’s policies and procedures outline the organisation’s commitment to promoting an environment that does not support institutional and systemic racism. Staff understood the service’s policy on abuse and neglect, including what to do should this become evident at Green Gables. Cultural training included discussion on institutional and systemic racism. Staff were encouraged to talk with a manager if they had any concerns about racism or discrimination. Staff interviewed stated that any observed or reported racism, abuse or exploitation at the facility would be addressed promptly and that they would be guided by the service’s code of conduct.</w:t>
            </w:r>
          </w:p>
          <w:p w14:paraId="42FC1FA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they had not witnessed any abuse or neglect, they were treated fairly, they felt safe and were protected from discrimination, coercion, harassment, abuse and/or neglect. Family had no concerns about how staff interacted with residents.</w:t>
            </w:r>
          </w:p>
          <w:p w14:paraId="5D56941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for handling residents’ property and finances were evident. The organisation implements a sound process to manage residents’ sundry expenses. Professional boundaries are explained to staff during induction and orientation and were maintained by staff as observed and verified by resident and family interview. This was evident observing staff interaction with residents during the audit.</w:t>
            </w:r>
          </w:p>
          <w:p w14:paraId="5D7C3B6D" w14:textId="77777777" w:rsidR="00EB7645" w:rsidRPr="00BE00C7" w:rsidRDefault="00000000" w:rsidP="00BE00C7">
            <w:pPr>
              <w:pStyle w:val="OutcomeDescription"/>
              <w:spacing w:before="120" w:after="120"/>
              <w:rPr>
                <w:rFonts w:cs="Arial"/>
                <w:lang w:eastAsia="en-NZ"/>
              </w:rPr>
            </w:pPr>
          </w:p>
        </w:tc>
      </w:tr>
      <w:tr w:rsidR="003074B6" w14:paraId="0A467193" w14:textId="77777777">
        <w:tc>
          <w:tcPr>
            <w:tcW w:w="0" w:type="auto"/>
          </w:tcPr>
          <w:p w14:paraId="7034D9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367761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CE7286F" w14:textId="77777777" w:rsidR="00EB7645" w:rsidRPr="00BE00C7" w:rsidRDefault="00000000" w:rsidP="00BE00C7">
            <w:pPr>
              <w:pStyle w:val="OutcomeDescription"/>
              <w:spacing w:before="120" w:after="120"/>
              <w:rPr>
                <w:rFonts w:cs="Arial"/>
                <w:lang w:eastAsia="en-NZ"/>
              </w:rPr>
            </w:pPr>
          </w:p>
        </w:tc>
        <w:tc>
          <w:tcPr>
            <w:tcW w:w="0" w:type="auto"/>
          </w:tcPr>
          <w:p w14:paraId="6B06F09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952B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 reported that communication was open and effective, and they always felt listened to. Information was provided in an easy-to-understand format as well as accommodating different languages. Staff understood the principles of open disclosure, and this is supported by policies and procedures.</w:t>
            </w:r>
          </w:p>
          <w:p w14:paraId="0BF5DE77"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or reported incidents/events was communicated to relatives in a timely manner and these communications were documented in the resident’s record. Staff knew how to access interpreter services if required. Staff who are unable to speak te reo Māori advised they have learnt key phrases to share with residents who identify as Māori.</w:t>
            </w:r>
          </w:p>
          <w:p w14:paraId="72643B5E" w14:textId="77777777" w:rsidR="00EB7645" w:rsidRPr="00BE00C7" w:rsidRDefault="00000000" w:rsidP="00BE00C7">
            <w:pPr>
              <w:pStyle w:val="OutcomeDescription"/>
              <w:spacing w:before="120" w:after="120"/>
              <w:rPr>
                <w:rFonts w:cs="Arial"/>
                <w:lang w:eastAsia="en-NZ"/>
              </w:rPr>
            </w:pPr>
          </w:p>
        </w:tc>
      </w:tr>
      <w:tr w:rsidR="003074B6" w14:paraId="59161BB1" w14:textId="77777777">
        <w:tc>
          <w:tcPr>
            <w:tcW w:w="0" w:type="auto"/>
          </w:tcPr>
          <w:p w14:paraId="4B7FC1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F325F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A7DDAB8" w14:textId="77777777" w:rsidR="00EB7645" w:rsidRPr="00BE00C7" w:rsidRDefault="00000000" w:rsidP="00BE00C7">
            <w:pPr>
              <w:pStyle w:val="OutcomeDescription"/>
              <w:spacing w:before="120" w:after="120"/>
              <w:rPr>
                <w:rFonts w:cs="Arial"/>
                <w:lang w:eastAsia="en-NZ"/>
              </w:rPr>
            </w:pPr>
          </w:p>
        </w:tc>
        <w:tc>
          <w:tcPr>
            <w:tcW w:w="0" w:type="auto"/>
          </w:tcPr>
          <w:p w14:paraId="593C9A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EE394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representatives were provided with the information necessary to make informed decisions. Interviews with residents and family verified this. They felt empowered by staff at Green Gables to actively participate in decision-making. The CM, registered nurses and care staff interviewed understood the principles and practice of informed consent.</w:t>
            </w:r>
          </w:p>
          <w:p w14:paraId="2216A073" w14:textId="703F0EF1"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are documented, as relevant, in the resident’s clinical file. There was evidence that an EPOA had been enacted for residents where this was a requirement. Where an EPOA is not in place Green Gables will support actions to have one appointed.</w:t>
            </w:r>
          </w:p>
        </w:tc>
      </w:tr>
      <w:tr w:rsidR="003074B6" w14:paraId="480DF684" w14:textId="77777777">
        <w:tc>
          <w:tcPr>
            <w:tcW w:w="0" w:type="auto"/>
          </w:tcPr>
          <w:p w14:paraId="40312CD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9912D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955188" w14:textId="77777777" w:rsidR="00EB7645" w:rsidRPr="00BE00C7" w:rsidRDefault="00000000" w:rsidP="00BE00C7">
            <w:pPr>
              <w:pStyle w:val="OutcomeDescription"/>
              <w:spacing w:before="120" w:after="120"/>
              <w:rPr>
                <w:rFonts w:cs="Arial"/>
                <w:lang w:eastAsia="en-NZ"/>
              </w:rPr>
            </w:pPr>
          </w:p>
        </w:tc>
        <w:tc>
          <w:tcPr>
            <w:tcW w:w="0" w:type="auto"/>
          </w:tcPr>
          <w:p w14:paraId="286591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7932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and family understood their right to make a complaint and knew how to do so. </w:t>
            </w:r>
          </w:p>
          <w:p w14:paraId="5398EF3B"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Complaint forms and a box are at reception. The Code is available in te reo Māori and English. Staff reported they knew what to do should they receive a complaint.</w:t>
            </w:r>
          </w:p>
          <w:p w14:paraId="2D1E9DF9"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There have been no complaints received from external sources since the previous audit.</w:t>
            </w:r>
          </w:p>
          <w:p w14:paraId="0A9F36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reported, and documentation evidenced, that a translator who identified as Māori would be available to support people if needed. There have been no complaints received by Māori to date.</w:t>
            </w:r>
          </w:p>
          <w:p w14:paraId="1903F656" w14:textId="77777777" w:rsidR="00EB7645" w:rsidRPr="00BE00C7" w:rsidRDefault="00000000" w:rsidP="00BE00C7">
            <w:pPr>
              <w:pStyle w:val="OutcomeDescription"/>
              <w:spacing w:before="120" w:after="120"/>
              <w:rPr>
                <w:rFonts w:cs="Arial"/>
                <w:lang w:eastAsia="en-NZ"/>
              </w:rPr>
            </w:pPr>
          </w:p>
        </w:tc>
      </w:tr>
      <w:tr w:rsidR="003074B6" w14:paraId="0E056272" w14:textId="77777777">
        <w:tc>
          <w:tcPr>
            <w:tcW w:w="0" w:type="auto"/>
          </w:tcPr>
          <w:p w14:paraId="5AB7056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A5776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872480F" w14:textId="77777777" w:rsidR="00EB7645" w:rsidRPr="00BE00C7" w:rsidRDefault="00000000" w:rsidP="00BE00C7">
            <w:pPr>
              <w:pStyle w:val="OutcomeDescription"/>
              <w:spacing w:before="120" w:after="120"/>
              <w:rPr>
                <w:rFonts w:cs="Arial"/>
                <w:lang w:eastAsia="en-NZ"/>
              </w:rPr>
            </w:pPr>
          </w:p>
        </w:tc>
        <w:tc>
          <w:tcPr>
            <w:tcW w:w="0" w:type="auto"/>
          </w:tcPr>
          <w:p w14:paraId="634351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A4E9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and being </w:t>
            </w:r>
            <w:r w:rsidRPr="00BE00C7">
              <w:rPr>
                <w:rFonts w:cs="Arial"/>
                <w:lang w:eastAsia="en-NZ"/>
              </w:rPr>
              <w:lastRenderedPageBreak/>
              <w:t>focused on improving outcomes for Māori, Pasifika, and tāngata whaikaha. Oceania is using Māori consultancy processes to enable the organisation to ensure there is meaningful inclusion of Māori at governance level and that Te Tiriti o Waitangi is honoured. Board members have completed cultural training and have taken opportunities to upskill in Te Tiriti o Waitangi and health equity via the Institute of Directors, other community roles and/or employment. Oceania has a legal team who monitor changes to legislative and clinical requirements and have access to domestic and international legal advice.</w:t>
            </w:r>
          </w:p>
          <w:p w14:paraId="598F71EC"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Oceania promotes appropriate models of care specific to residents’ cultural needs, including for Māori and Pasifika.</w:t>
            </w:r>
          </w:p>
          <w:p w14:paraId="6F123EA7"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Green Gables. Cultural safety is embedded in business and quality plans and in staff training. Ethnicity data is being collected to support equity.</w:t>
            </w:r>
          </w:p>
          <w:p w14:paraId="29FA774B"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are committed to quality and risk via policy, processes, and through feedback mechanisms. This includes receiving regular information from each of the care facilities. The clinical governance group is appropriate to the size and complexity of the organisation. Monthly governance group meetings are led by the group general manager and the care services/clinical director, who also provides clinical and quality dashboard reports to the board.</w:t>
            </w:r>
          </w:p>
          <w:p w14:paraId="08BF3E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data collection (e.g., adverse events, complaints) are aggregated and corrective action (at facility and organisation level as applicable) actioned. Changes are made to business and/or the strategic plans as required. The regional manager reported that the CM is a competent manager and provides adequate information to monitor </w:t>
            </w:r>
            <w:r w:rsidRPr="00BE00C7">
              <w:rPr>
                <w:rFonts w:cs="Arial"/>
                <w:lang w:eastAsia="en-NZ"/>
              </w:rPr>
              <w:lastRenderedPageBreak/>
              <w:t>performance.</w:t>
            </w:r>
          </w:p>
          <w:p w14:paraId="2BBA8A53" w14:textId="77777777" w:rsidR="00EB7645" w:rsidRPr="00BE00C7" w:rsidRDefault="00000000" w:rsidP="00BE00C7">
            <w:pPr>
              <w:pStyle w:val="OutcomeDescription"/>
              <w:spacing w:before="120" w:after="120"/>
              <w:rPr>
                <w:rFonts w:cs="Arial"/>
                <w:lang w:eastAsia="en-NZ"/>
              </w:rPr>
            </w:pPr>
            <w:r w:rsidRPr="00BE00C7">
              <w:rPr>
                <w:rFonts w:cs="Arial"/>
                <w:lang w:eastAsia="en-NZ"/>
              </w:rPr>
              <w:t>Knowledge of the sector, regulatory and reporting requirements, and maintaining currency with the field through legal advice, is managed by Oceania’s governance group. The BCM reported that the group knew of the imminent changes to the Section 31 reporting. The BCM has been in the role for one month, has over 30 years aged care experience, is a registered nurse and has completed the management essential course for aged care managers. Support is provided by the national operations manager and the clinical governance group (CGC). When the BCM is absent, the clinical manager (CM) carries out all the required duties under delegated authority with support from the national operations manager and the CGC.</w:t>
            </w:r>
          </w:p>
          <w:p w14:paraId="2E596373" w14:textId="77777777" w:rsidR="00EB7645" w:rsidRPr="00BE00C7" w:rsidRDefault="00000000" w:rsidP="00BE00C7">
            <w:pPr>
              <w:pStyle w:val="OutcomeDescription"/>
              <w:spacing w:before="120" w:after="120"/>
              <w:rPr>
                <w:rFonts w:cs="Arial"/>
                <w:lang w:eastAsia="en-NZ"/>
              </w:rPr>
            </w:pPr>
            <w:r w:rsidRPr="00BE00C7">
              <w:rPr>
                <w:rFonts w:cs="Arial"/>
                <w:lang w:eastAsia="en-NZ"/>
              </w:rPr>
              <w:t>Green Gables supports residents and their family to participate in the service through ongoing communication, care and support planning, resident meetings, and the six-monthly resident satisfaction survey. A sample of resident meeting minutes evidenced discussion on forthcoming activities.</w:t>
            </w:r>
          </w:p>
          <w:p w14:paraId="36490F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Nelson Marlborough to provide age-related residential care (ARRC) rest home and hospital level, for up to 61 residents.</w:t>
            </w:r>
          </w:p>
          <w:p w14:paraId="2BEBB5C5"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twenty-one residents were receiving rest home level care, including one respite resident, and one resident under the long-term chronic health contract (LTCHC),</w:t>
            </w:r>
          </w:p>
          <w:p w14:paraId="0CA910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Twenty-eight residents were receiving hospital level care, including two YPD, one respite, and one resident funded by the Accident Compensation Corporation (ACC). </w:t>
            </w:r>
          </w:p>
          <w:p w14:paraId="4CE8C30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beds are certified as dual-purpose beds and on the first day of the audit eleven were occupied under an occupation rights agreement.</w:t>
            </w:r>
          </w:p>
          <w:p w14:paraId="188DABD2" w14:textId="77777777" w:rsidR="00EB7645" w:rsidRPr="00BE00C7" w:rsidRDefault="00000000" w:rsidP="00BE00C7">
            <w:pPr>
              <w:pStyle w:val="OutcomeDescription"/>
              <w:spacing w:before="120" w:after="120"/>
              <w:rPr>
                <w:rFonts w:cs="Arial"/>
                <w:lang w:eastAsia="en-NZ"/>
              </w:rPr>
            </w:pPr>
          </w:p>
        </w:tc>
      </w:tr>
      <w:tr w:rsidR="003074B6" w14:paraId="2B2019C7" w14:textId="77777777">
        <w:tc>
          <w:tcPr>
            <w:tcW w:w="0" w:type="auto"/>
          </w:tcPr>
          <w:p w14:paraId="7F9E6A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55AA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06FD194" w14:textId="77777777" w:rsidR="00EB7645" w:rsidRPr="00BE00C7" w:rsidRDefault="00000000" w:rsidP="00BE00C7">
            <w:pPr>
              <w:pStyle w:val="OutcomeDescription"/>
              <w:spacing w:before="120" w:after="120"/>
              <w:rPr>
                <w:rFonts w:cs="Arial"/>
                <w:lang w:eastAsia="en-NZ"/>
              </w:rPr>
            </w:pPr>
          </w:p>
        </w:tc>
        <w:tc>
          <w:tcPr>
            <w:tcW w:w="0" w:type="auto"/>
          </w:tcPr>
          <w:p w14:paraId="7CC7ED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E5FC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Green Gables uses Oceania’s range of documents that contribute to quality and risk management and reflect the principles of quality improvement processes. These include a clinical risk management policy, document control, clinical governance terms of reference, quality improvement policy, health and safety strategy 2022-2025, critical </w:t>
            </w:r>
            <w:r w:rsidRPr="00BE00C7">
              <w:rPr>
                <w:rFonts w:cs="Arial"/>
                <w:lang w:eastAsia="en-NZ"/>
              </w:rPr>
              <w:lastRenderedPageBreak/>
              <w:t>incident/accident/sentinel event policy and the quality cycle.</w:t>
            </w:r>
          </w:p>
          <w:p w14:paraId="3E1A80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BCM, with support from the CM, is responsible for quality. Residents, family and staff contribute to quality improvement through meetings and surveys. </w:t>
            </w:r>
          </w:p>
          <w:p w14:paraId="19B866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meetings are held to discuss quality and risk data gathered. In addition to meetings with relevant members of the corporate team, there have been separate monthly meetings including quality and staff, registered nurses, residents, health and safety, infection control, and restraint. A sample of quality and risk-related meeting minutes were reviewed and confirmed there has been regular review and analysis of quality indicators, and that related information is reported and discussed.  </w:t>
            </w:r>
          </w:p>
          <w:p w14:paraId="524AEC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projects include developing food service champions. </w:t>
            </w:r>
          </w:p>
          <w:p w14:paraId="1F4F9F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last resident survey was completed in May 2024. The survey is yet to be analysed. The previous resident satisfaction survey evidenced that people were satisfied with the service and the environment. The last staff survey was completed in November 2023. Results were described as average.  The action plan is yet to be developed.</w:t>
            </w:r>
          </w:p>
          <w:p w14:paraId="4CAD4C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Young people with disabilities have input into quality improvements to the service through the resident survey and monthly resident meetings. The BCM and national operations manager reported that younger people have access devices such as a computer, an iPad, and an iPod.  </w:t>
            </w:r>
          </w:p>
          <w:p w14:paraId="2F52E0A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supported to deliver high-quality health care should any residents identify as Māori through, for example, training, including cultural safety training, cultural assessments, care planning, and communicating with the resident and family. Staff reported they are learning te reo Māori and gave examples of tikanga.</w:t>
            </w:r>
          </w:p>
          <w:p w14:paraId="198169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2024 internal audit schedule was sighted. Completed audits include the environment, clinical records, medication, infection control, cleaning, laundry, call bells and kitchen. Relevant corrective actions were developed and implemented to address any shortfalls. Progress against quality outcomes was evaluated.</w:t>
            </w:r>
          </w:p>
          <w:p w14:paraId="14C185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Documentation is the responsibility of the </w:t>
            </w:r>
            <w:r w:rsidRPr="00BE00C7">
              <w:rPr>
                <w:rFonts w:cs="Arial"/>
                <w:lang w:eastAsia="en-NZ"/>
              </w:rPr>
              <w:lastRenderedPageBreak/>
              <w:t>relevant department at the corporate office. Critical analysis of organisational practices to improve health equity is occurring, including at Green Gables, with appropriate follow-up and reporting. A Māori health plan guides care should any residents identify as Māori.</w:t>
            </w:r>
          </w:p>
          <w:p w14:paraId="5F35AC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national operations manager described the processes for the identification, documentation, monitoring, review and reporting of risks, including health and safety risks, and development of mitigation strategies. Where mitigation strategies are identified, there are processes in place to ensure these are corrected. </w:t>
            </w:r>
          </w:p>
          <w:p w14:paraId="29335DA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A sample of incidents forms reviewed showed these were fully completed, incidents were investigated, action plans developed, and actions followed up in a timely manner. Whilst Green Gables is following the principles of the National Adverse Events Reporting Policy, it is not yet required to report externally in relation to this.</w:t>
            </w:r>
          </w:p>
          <w:p w14:paraId="329CFB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and CM understood and have complied with essential notification reporting requirements. There have been two Section 31 notifications since the last audit. One related to the change of BCM and one for a pressure injury. The notifications were sighted. There have not been any police investigations, issues-based audits or any other notifications, for example public health. One coroner’s inquest has been held since the last audit and was closed on 14 May 2024.</w:t>
            </w:r>
          </w:p>
          <w:p w14:paraId="4B73E3E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Critical analysis of organisational practices to improve health equity is occurring, including at Green Gables, with appropriate follow-up and reporting. The provider benchmarks internally against relevant health performance indicators, for example infections, medication and falls. The CM reported that while the medication and falls benchmarking data compared positively against the last quarter, the infection rate rose due to two residents having Covid-19.</w:t>
            </w:r>
          </w:p>
          <w:p w14:paraId="37FAC9E5" w14:textId="77777777" w:rsidR="00EB7645" w:rsidRPr="00BE00C7" w:rsidRDefault="00000000" w:rsidP="00BE00C7">
            <w:pPr>
              <w:pStyle w:val="OutcomeDescription"/>
              <w:spacing w:before="120" w:after="120"/>
              <w:rPr>
                <w:rFonts w:cs="Arial"/>
                <w:lang w:eastAsia="en-NZ"/>
              </w:rPr>
            </w:pPr>
          </w:p>
        </w:tc>
      </w:tr>
      <w:tr w:rsidR="003074B6" w14:paraId="368B663B" w14:textId="77777777">
        <w:tc>
          <w:tcPr>
            <w:tcW w:w="0" w:type="auto"/>
          </w:tcPr>
          <w:p w14:paraId="0989BA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3D751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6635F88" w14:textId="77777777" w:rsidR="00EB7645" w:rsidRPr="00BE00C7" w:rsidRDefault="00000000" w:rsidP="00BE00C7">
            <w:pPr>
              <w:pStyle w:val="OutcomeDescription"/>
              <w:spacing w:before="120" w:after="120"/>
              <w:rPr>
                <w:rFonts w:cs="Arial"/>
                <w:lang w:eastAsia="en-NZ"/>
              </w:rPr>
            </w:pPr>
          </w:p>
        </w:tc>
        <w:tc>
          <w:tcPr>
            <w:tcW w:w="0" w:type="auto"/>
          </w:tcPr>
          <w:p w14:paraId="5D54E0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3AAD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tool is used. The facility adjusts staffing levels to meet the changing needs of residents. A review of two weekly rosters confirmed adequate staff </w:t>
            </w:r>
            <w:r w:rsidRPr="00BE00C7">
              <w:rPr>
                <w:rFonts w:cs="Arial"/>
                <w:lang w:eastAsia="en-NZ"/>
              </w:rPr>
              <w:lastRenderedPageBreak/>
              <w:t xml:space="preserve">cover has been provided, with staff replaced in any unplanned absence. At least one staff member on duty has a current first aid certificate and there is 24/7 registered nurse (RN) coverage in the hospital. Residents and family and staff interviewed confirmed there were sufficient staff. </w:t>
            </w:r>
          </w:p>
          <w:p w14:paraId="12190A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who have worked in this care home for between two weeks and three and three-quarter years. Several staff have worked for Oceania for much longer and transferred from local Oceania facilities when they closed recently. Maintenance personnel, activities staff, cleaning/laundry staff, kitchen and café staff, and administration staff are also employed to meet the needs of the residents.</w:t>
            </w:r>
          </w:p>
          <w:p w14:paraId="65C3CB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afterhours on-call system is in place, with the registered nurses sharing on-call 24/7. The BCM is also on call, as are the maintenance personnel. Staff reported that good access to advice is available when needed.   </w:t>
            </w:r>
          </w:p>
          <w:p w14:paraId="2369BF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Bureau staff have been used to cover RN shortages. The BCM reported that bureau RNs are employed on average once every six months, and HCAs twice a month to cover sickness.  </w:t>
            </w:r>
          </w:p>
          <w:p w14:paraId="2AF3FE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described the recruitment process, which includes referee checks, police vetting, and validation of qualifications and practicing certificates (APCs) where required.</w:t>
            </w:r>
          </w:p>
          <w:p w14:paraId="6D68D9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fire knowledge, handwashing, hoist, infection prevention, insulin, interRAI, medication, nebulisers, oxygen, syringe driver, wound management and restraint competencies confirmed the training.</w:t>
            </w:r>
          </w:p>
          <w:p w14:paraId="6A5DC5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The BCM reported, and documentation confirmed, that staff hold Level 2, Level 3 and Level 4 New Zealand Qualification Authority (NZQA) education qualifications. The CM reported that nine of the twelve registered nurses are interRAI trained. </w:t>
            </w:r>
          </w:p>
          <w:p w14:paraId="2A71F1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Training is provided either face-to-face or online and includes abuse and neglect, complaints, challenging behaviour, chemicals, continence, </w:t>
            </w:r>
            <w:r w:rsidRPr="00BE00C7">
              <w:rPr>
                <w:rFonts w:cs="Arial"/>
                <w:lang w:eastAsia="en-NZ"/>
              </w:rPr>
              <w:lastRenderedPageBreak/>
              <w:t>cultural safety, fire safety, first aid, infection prevention, manual handling, medication, palliative care, physical intervention, professional boundaries, supporting people with disabilities, safe restraint and de-escalation, Treaty of Waitangi, Te Tirit o Waitangi, wellbeing and self-care, dementia, and wound care. Attendance sheets were sighted.</w:t>
            </w:r>
          </w:p>
          <w:p w14:paraId="703DEB1D" w14:textId="77777777" w:rsidR="00EB7645" w:rsidRPr="00BE00C7" w:rsidRDefault="00000000" w:rsidP="00BE00C7">
            <w:pPr>
              <w:pStyle w:val="OutcomeDescription"/>
              <w:spacing w:before="120" w:after="120"/>
              <w:rPr>
                <w:rFonts w:cs="Arial"/>
                <w:lang w:eastAsia="en-NZ"/>
              </w:rPr>
            </w:pPr>
            <w:r w:rsidRPr="00BE00C7">
              <w:rPr>
                <w:rFonts w:cs="Arial"/>
                <w:lang w:eastAsia="en-NZ"/>
              </w:rPr>
              <w:t>Meetings are held with the resident and their family to discuss and sign care plans. Residents’ meetings are held monthly and are an opportunity for people to discuss and express opinions on aspects of the service. Meeting minutes evidenced discussion about observing upcoming cultural days.</w:t>
            </w:r>
          </w:p>
          <w:p w14:paraId="1271B8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and national operations manager reported that Green Gables is building on their own knowledge through the collecting and sharing of high-quality Māori health information across the service through policy and procedure, care planning, resident and family engagement, cultural training, and through learning te reo Māori. A collection of documents, including the Māori and Pacific peoples’ plans, were sighted.</w:t>
            </w:r>
          </w:p>
          <w:p w14:paraId="2FB99E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and CM reported that where health equity expertise is not available, external agencies are contracted. For example, Te Whatu Ora Nelson Marlborough palliative care and gerontology staff.</w:t>
            </w:r>
          </w:p>
          <w:p w14:paraId="7EFD884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the employee assistance programme, cultural events, gifts, gift vouchers, and paid leave to celebrate their birthday.</w:t>
            </w:r>
          </w:p>
          <w:p w14:paraId="5F6165CE" w14:textId="77777777" w:rsidR="00EB7645" w:rsidRPr="00BE00C7" w:rsidRDefault="00000000" w:rsidP="00BE00C7">
            <w:pPr>
              <w:pStyle w:val="OutcomeDescription"/>
              <w:spacing w:before="120" w:after="120"/>
              <w:rPr>
                <w:rFonts w:cs="Arial"/>
                <w:lang w:eastAsia="en-NZ"/>
              </w:rPr>
            </w:pPr>
          </w:p>
        </w:tc>
      </w:tr>
      <w:tr w:rsidR="003074B6" w14:paraId="247D2208" w14:textId="77777777">
        <w:tc>
          <w:tcPr>
            <w:tcW w:w="0" w:type="auto"/>
          </w:tcPr>
          <w:p w14:paraId="1CDDA9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EBB37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F560AA6" w14:textId="77777777" w:rsidR="00EB7645" w:rsidRPr="00BE00C7" w:rsidRDefault="00000000" w:rsidP="00BE00C7">
            <w:pPr>
              <w:pStyle w:val="OutcomeDescription"/>
              <w:spacing w:before="120" w:after="120"/>
              <w:rPr>
                <w:rFonts w:cs="Arial"/>
                <w:lang w:eastAsia="en-NZ"/>
              </w:rPr>
            </w:pPr>
          </w:p>
        </w:tc>
        <w:tc>
          <w:tcPr>
            <w:tcW w:w="0" w:type="auto"/>
          </w:tcPr>
          <w:p w14:paraId="52E37D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4390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nine staff records reviewed confirmed the organisation’s policies are being consistently implemented. </w:t>
            </w:r>
          </w:p>
          <w:p w14:paraId="470316B0"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are documented and were sighted in the files reviewed.</w:t>
            </w:r>
          </w:p>
          <w:p w14:paraId="5C8A33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BCM described the procedure to ensure professional qualifications are validated prior to employment.  Current annual practicing certificates were sighted for the twelve registered nurses, seven pharmacists, the dietitian, seventeen general practitioners, the </w:t>
            </w:r>
            <w:r w:rsidRPr="00BE00C7">
              <w:rPr>
                <w:rFonts w:cs="Arial"/>
                <w:lang w:eastAsia="en-NZ"/>
              </w:rPr>
              <w:lastRenderedPageBreak/>
              <w:t xml:space="preserve">physiotherapist and the podiatrist. </w:t>
            </w:r>
          </w:p>
          <w:p w14:paraId="3CE9A63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described their orientation and are buddied with an experienced staff member for up to one week. Orientation includes civil defence cultural safety, fire safety, health and safety, infection control, Treaty of Waitangi, hoist, hand hygiene, moving and handling, policy manual, PPE, and safe restraint.</w:t>
            </w:r>
          </w:p>
          <w:p w14:paraId="6A9A193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Completed reviews were sighted.</w:t>
            </w:r>
          </w:p>
          <w:p w14:paraId="34C73F22"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accurate, relevant, secure, stored and archived confidentially. Electronic data is username and password protected. Information is available only to those authorised to use it. Ethnicity data is being recorded for staff and used in accordance with Health Information Standards Organisation (HISO) requirements.</w:t>
            </w:r>
          </w:p>
          <w:p w14:paraId="5ACDCC7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incident reports are discussed at staff meetings. They have the opportunity to be involved in a debrief and discussion and receive support following incidents to ensure wellbeing.</w:t>
            </w:r>
          </w:p>
          <w:p w14:paraId="242B197A" w14:textId="77777777" w:rsidR="00EB7645" w:rsidRPr="00BE00C7" w:rsidRDefault="00000000" w:rsidP="00BE00C7">
            <w:pPr>
              <w:pStyle w:val="OutcomeDescription"/>
              <w:spacing w:before="120" w:after="120"/>
              <w:rPr>
                <w:rFonts w:cs="Arial"/>
                <w:lang w:eastAsia="en-NZ"/>
              </w:rPr>
            </w:pPr>
          </w:p>
        </w:tc>
      </w:tr>
      <w:tr w:rsidR="003074B6" w14:paraId="317B1DEF" w14:textId="77777777">
        <w:tc>
          <w:tcPr>
            <w:tcW w:w="0" w:type="auto"/>
          </w:tcPr>
          <w:p w14:paraId="6F8F56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8E47B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071FE4C" w14:textId="77777777" w:rsidR="00EB7645" w:rsidRPr="00BE00C7" w:rsidRDefault="00000000" w:rsidP="00BE00C7">
            <w:pPr>
              <w:pStyle w:val="OutcomeDescription"/>
              <w:spacing w:before="120" w:after="120"/>
              <w:rPr>
                <w:rFonts w:cs="Arial"/>
                <w:lang w:eastAsia="en-NZ"/>
              </w:rPr>
            </w:pPr>
          </w:p>
        </w:tc>
        <w:tc>
          <w:tcPr>
            <w:tcW w:w="0" w:type="auto"/>
          </w:tcPr>
          <w:p w14:paraId="503577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48D83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Information is accessible for all those who need it. Electronic data is username and password protected.</w:t>
            </w:r>
          </w:p>
          <w:p w14:paraId="3B9C5FE5"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were held securely for the required period before being destroyed. Archived files were stored through a security data storage company. A cataloguing system is used to retrieve files if needed. No personal or private resident information was on public display during the audit.</w:t>
            </w:r>
          </w:p>
          <w:p w14:paraId="7917B5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National Health Index (NHI) number on admission.</w:t>
            </w:r>
          </w:p>
          <w:p w14:paraId="1DA72D21" w14:textId="77777777" w:rsidR="00EB7645" w:rsidRPr="00BE00C7" w:rsidRDefault="00000000" w:rsidP="00BE00C7">
            <w:pPr>
              <w:pStyle w:val="OutcomeDescription"/>
              <w:spacing w:before="120" w:after="120"/>
              <w:rPr>
                <w:rFonts w:cs="Arial"/>
                <w:lang w:eastAsia="en-NZ"/>
              </w:rPr>
            </w:pPr>
          </w:p>
        </w:tc>
      </w:tr>
      <w:tr w:rsidR="003074B6" w14:paraId="4DC579F2" w14:textId="77777777">
        <w:tc>
          <w:tcPr>
            <w:tcW w:w="0" w:type="auto"/>
          </w:tcPr>
          <w:p w14:paraId="5B3836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692ED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DA9C117" w14:textId="77777777" w:rsidR="00EB7645" w:rsidRPr="00BE00C7" w:rsidRDefault="00000000" w:rsidP="00BE00C7">
            <w:pPr>
              <w:pStyle w:val="OutcomeDescription"/>
              <w:spacing w:before="120" w:after="120"/>
              <w:rPr>
                <w:rFonts w:cs="Arial"/>
                <w:lang w:eastAsia="en-NZ"/>
              </w:rPr>
            </w:pPr>
          </w:p>
        </w:tc>
        <w:tc>
          <w:tcPr>
            <w:tcW w:w="0" w:type="auto"/>
          </w:tcPr>
          <w:p w14:paraId="146145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C0B1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for the management of inquiries and entry to Green Gables is in place. The admission pack contains all the information about entry to the service. Assessments and entry screening processes are documented and communicated to the family of choice, where appropriate, local communities, and referral agencies. Completed Needs Assessment and Service Coordination (NASC) agency authorisation forms for residents assessed as requiring rest home and hospital level of care were in place. Where a prospective resident is declined entry, there are processes for communicating the decision. Related data is documented and analysed, including decline rates for Māori and Pacific people.</w:t>
            </w:r>
          </w:p>
          <w:p w14:paraId="6574D2BD" w14:textId="77777777" w:rsidR="00EB7645" w:rsidRPr="00BE00C7" w:rsidRDefault="00000000" w:rsidP="00BE00C7">
            <w:pPr>
              <w:pStyle w:val="OutcomeDescription"/>
              <w:spacing w:before="120" w:after="120"/>
              <w:rPr>
                <w:rFonts w:cs="Arial"/>
                <w:lang w:eastAsia="en-NZ"/>
              </w:rPr>
            </w:pPr>
          </w:p>
        </w:tc>
      </w:tr>
      <w:tr w:rsidR="003074B6" w14:paraId="17828A9E" w14:textId="77777777">
        <w:tc>
          <w:tcPr>
            <w:tcW w:w="0" w:type="auto"/>
          </w:tcPr>
          <w:p w14:paraId="2BE4183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8821E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D2F56D" w14:textId="77777777" w:rsidR="00EB7645" w:rsidRPr="00BE00C7" w:rsidRDefault="00000000" w:rsidP="00BE00C7">
            <w:pPr>
              <w:pStyle w:val="OutcomeDescription"/>
              <w:spacing w:before="120" w:after="120"/>
              <w:rPr>
                <w:rFonts w:cs="Arial"/>
                <w:lang w:eastAsia="en-NZ"/>
              </w:rPr>
            </w:pPr>
          </w:p>
        </w:tc>
        <w:tc>
          <w:tcPr>
            <w:tcW w:w="0" w:type="auto"/>
          </w:tcPr>
          <w:p w14:paraId="521E402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90AF33"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 (rest home and hospital) files were reviewed. File reviews included residents who had experienced a fall and transferred to an acute facility, a recent admission to Green Gables, a resident with multiple high needs health conditions and wound management, and a resident with cognitive decline requiring management of behaviour that challenges.</w:t>
            </w:r>
          </w:p>
          <w:p w14:paraId="629E21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complete admission assessments, care planning and evaluation. Assessment tools that include consideration of residents’ lived experiences, cultural needs, values, and beliefs are used. Cultural assessments were completed by staff who have completed appropriate cultural safety training. All residents’ files sampled evidenced that relevant interRAI outcome scores have supported care planning. Goals of care and appropriate interventions were documented.</w:t>
            </w:r>
          </w:p>
          <w:p w14:paraId="678578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Behaviour management plans were completed for residents where there was an identified need. The identified behaviours of concern, known triggers and strategies to manage the behaviours were documented. Behaviour monitoring charts were completed, and appropriate interventions implemented as required. The family or EPOAs of residents confirmed being involved in the assessment and care planning processes. </w:t>
            </w:r>
          </w:p>
          <w:p w14:paraId="066A75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were no residents who identified as Māori or Pasifika residing at Green Gables during the audit. Staff interviewed were knowledgeable about care planning for residents who identified as Māori or Pasifika. Staff were aware of how to access cultural advice and tikanga Māori knowledge if required. Staff also acknowledged that whānau would be involved in wellbeing assessments to ensure that tikanga and kaupapa Māori perspectives were included in the assessment process.</w:t>
            </w:r>
          </w:p>
          <w:p w14:paraId="3D2A58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Oceania Māori health plan was developed in consultation with a cultural advisor. The Māori health care plan used at Green Gables supports residents who identify as Māori to identify pae ora outcomes in their care plan in consultation with their whānau. The cultural safety assessment process validates Māori healing methodologies, such as karakia, rongoā, and spiritual assistance, as well as the inclusion of partnership and support of residents, whānau, and the extended whānau to support wellbeing. Tikanga principles are included within the Māori health plan. Green Gables uses Te Whare Tapa Whā model of care for residents who identify as Māori and the Fonofale model for Pasifika residents.</w:t>
            </w:r>
          </w:p>
          <w:p w14:paraId="1CA2B3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barriers that prevent tāngata whaikaha and whānau from independently accessing information or services are identified and strategies to manage these documented. The staff confirmed they understood the process to support residents and family. Interviewed family confirmed satisfaction with cultural support provided by the service. The care plans reflected identified residents’ strengths, family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w:t>
            </w:r>
          </w:p>
          <w:p w14:paraId="28D967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plans evidenced service integration with other health providers including specialist services, medical, and allied health professionals. Any changes in residents’ health were escalated to the GP. Referrals were made to the GP when a resident’s needs changed, and timely referrals to relevant specialist services as indicated was evidenced in the residents’ files sampled. The GP at Green Gables </w:t>
            </w:r>
            <w:r w:rsidRPr="00BE00C7">
              <w:rPr>
                <w:rFonts w:cs="Arial"/>
                <w:lang w:eastAsia="en-NZ"/>
              </w:rPr>
              <w:lastRenderedPageBreak/>
              <w:t xml:space="preserve">confirmed satisfaction with the care being provided. Medical assessments were completed by the GP and routine medical reviews were completed regularly, with the frequency increased as determined by the resident’s condition. Timely medical records were evidenced in sampled resident files. </w:t>
            </w:r>
          </w:p>
          <w:p w14:paraId="37707F5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caregivers. The handover between a shift was observed to be comprehensive, capturing information to maintain safe follow-through of residents’ care. Any changes noted were reported to the RNs, as confirmed in the residents’ records sampled. The care plans were reviewed at least six-monthly following interRAI reassessments. Short-term care plans were completed for acute conditions, and these were reviewed regularly and closed off when the acute conditions resolved. The evaluations included the residents’ degree of progress towards the agreed goals and aspirations as well as family goals and aspirations. Where progress was different from expected, the service, in collaboration with family, responded by initiating changes to the care plan. Where there was a significant change in the resident’s condition, interRAI reassessment was completed and a referral made to the local NASC team for reassessment of level of care.</w:t>
            </w:r>
          </w:p>
          <w:p w14:paraId="71D0F7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seven interviews with the families of residents verified that care provided to residents was consistent with their assessed needs, goals, and aspirations. A range of equipment and resources were observed to be available, suited to the levels of care provided and in accordance with the residents’ needs. The residents’ families confirmed their involvement in evaluation of progress and any resulting changes. The staff confirmed they understood the process to support residents and family when required. </w:t>
            </w:r>
          </w:p>
          <w:p w14:paraId="2FC0EE4B" w14:textId="77777777" w:rsidR="00EB7645" w:rsidRPr="00BE00C7" w:rsidRDefault="00000000" w:rsidP="0012334D">
            <w:pPr>
              <w:pStyle w:val="OutcomeDescription"/>
              <w:spacing w:before="120" w:after="120"/>
              <w:rPr>
                <w:rFonts w:cs="Arial"/>
                <w:lang w:eastAsia="en-NZ"/>
              </w:rPr>
            </w:pPr>
          </w:p>
        </w:tc>
      </w:tr>
      <w:tr w:rsidR="003074B6" w14:paraId="53BEF844" w14:textId="77777777">
        <w:tc>
          <w:tcPr>
            <w:tcW w:w="0" w:type="auto"/>
          </w:tcPr>
          <w:p w14:paraId="060C7A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7D4EA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2E3ED657" w14:textId="77777777" w:rsidR="00EB7645" w:rsidRPr="00BE00C7" w:rsidRDefault="00000000" w:rsidP="00BE00C7">
            <w:pPr>
              <w:pStyle w:val="OutcomeDescription"/>
              <w:spacing w:before="120" w:after="120"/>
              <w:rPr>
                <w:rFonts w:cs="Arial"/>
                <w:lang w:eastAsia="en-NZ"/>
              </w:rPr>
            </w:pPr>
          </w:p>
        </w:tc>
        <w:tc>
          <w:tcPr>
            <w:tcW w:w="0" w:type="auto"/>
          </w:tcPr>
          <w:p w14:paraId="3BB194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A1A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activities coordinators (one is enrolled in a diversional therapy course with Careerforce), provide the activity programme at Green Gables.  Volunteers from Green Gables village have been orientated to the facility. The programme supports residents to maintain and develop their interests and is tailored to meet cultural needs and is suitable for the residents’ age groups and stages of life. Activities inhouse included </w:t>
            </w:r>
            <w:r w:rsidRPr="00BE00C7">
              <w:rPr>
                <w:rFonts w:cs="Arial"/>
                <w:lang w:eastAsia="en-NZ"/>
              </w:rPr>
              <w:lastRenderedPageBreak/>
              <w:t xml:space="preserve">celebration of special holidays and cultural events (Waitangi Day and Matariki). Other activities included kapa haka groups visiting the home, pet therapy, regular exercise sessions, book club, inhouse choir, and weekly church services. Community outings included visiting places of interest in the local Nelson Marlborough area, shopping, and special community events. The activities programme also accommodated cultural preferences, when identified, including Pasifika and Māori and whānau in te ao Māori. </w:t>
            </w:r>
          </w:p>
          <w:p w14:paraId="00F5EA4D" w14:textId="3E2D3913"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reflected residents’ goals and interests, ordinary patterns of life and included normal community activities. </w:t>
            </w:r>
          </w:p>
          <w:p w14:paraId="752A3FBF" w14:textId="67F35BC0" w:rsidR="00EB7645" w:rsidRPr="00BE00C7" w:rsidRDefault="00000000" w:rsidP="00BE00C7">
            <w:pPr>
              <w:pStyle w:val="OutcomeDescription"/>
              <w:spacing w:before="120" w:after="120"/>
              <w:rPr>
                <w:rFonts w:cs="Arial"/>
                <w:lang w:eastAsia="en-NZ"/>
              </w:rPr>
            </w:pPr>
            <w:r w:rsidRPr="00BE00C7">
              <w:rPr>
                <w:rFonts w:cs="Arial"/>
                <w:lang w:eastAsia="en-NZ"/>
              </w:rPr>
              <w:t>Residents and family were involved in evaluating and improving the programme. Residents interviewed confirmed the activities programme met their needs. Family interviewed expressed satisfaction with the activities programme provided at Green Gables.</w:t>
            </w:r>
          </w:p>
          <w:p w14:paraId="70DC6FEE" w14:textId="77777777" w:rsidR="00EB7645" w:rsidRPr="00BE00C7" w:rsidRDefault="00000000" w:rsidP="00BE00C7">
            <w:pPr>
              <w:pStyle w:val="OutcomeDescription"/>
              <w:spacing w:before="120" w:after="120"/>
              <w:rPr>
                <w:rFonts w:cs="Arial"/>
                <w:lang w:eastAsia="en-NZ"/>
              </w:rPr>
            </w:pPr>
          </w:p>
        </w:tc>
      </w:tr>
      <w:tr w:rsidR="003074B6" w14:paraId="393460B1" w14:textId="77777777">
        <w:tc>
          <w:tcPr>
            <w:tcW w:w="0" w:type="auto"/>
          </w:tcPr>
          <w:p w14:paraId="60473D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81B51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B02DB36" w14:textId="77777777" w:rsidR="00EB7645" w:rsidRPr="00BE00C7" w:rsidRDefault="00000000" w:rsidP="00BE00C7">
            <w:pPr>
              <w:pStyle w:val="OutcomeDescription"/>
              <w:spacing w:before="120" w:after="120"/>
              <w:rPr>
                <w:rFonts w:cs="Arial"/>
                <w:lang w:eastAsia="en-NZ"/>
              </w:rPr>
            </w:pPr>
          </w:p>
        </w:tc>
        <w:tc>
          <w:tcPr>
            <w:tcW w:w="0" w:type="auto"/>
          </w:tcPr>
          <w:p w14:paraId="77A08A1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DFA97E" w14:textId="77777777" w:rsidR="00EB7645" w:rsidRPr="00BE00C7" w:rsidRDefault="0000000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was current and in line with the Medicines Care Guide for Residential Aged Care. Prescribing practices are in line with legislation, protocols, and guidelines. The required three-monthly reviews by the GP were recorded. There is space for documenting resident allergies and sensitivities on the medication chart and in the resident’s record. The service has policies and procedures on management of medication adverse events and staff interviewed demonstrated knowledge of these.</w:t>
            </w:r>
          </w:p>
          <w:p w14:paraId="737625B4" w14:textId="77777777" w:rsidR="00EB7645" w:rsidRPr="00BE00C7" w:rsidRDefault="00000000"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are monitored weekly. Medications were stored securely in accordance with requirements.</w:t>
            </w:r>
          </w:p>
          <w:p w14:paraId="16916F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 provided evidence of weekly and six-monthly </w:t>
            </w:r>
            <w:r w:rsidRPr="00BE00C7">
              <w:rPr>
                <w:rFonts w:cs="Arial"/>
                <w:lang w:eastAsia="en-NZ"/>
              </w:rPr>
              <w:lastRenderedPageBreak/>
              <w:t>stock checks and accurate entries.</w:t>
            </w:r>
          </w:p>
          <w:p w14:paraId="647F31DB"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are supported to understand their medications, including support provided to Māori residents if admitted/residing at Green Gables.</w:t>
            </w:r>
          </w:p>
          <w:p w14:paraId="7EA894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were competent to perform the function they manage; current medication competencies were evident in staff files. The RN oversees the use of all pro re nata (PRN) medicines, and documentation regarding effectiveness was noted in progress notes. Medications are supplied to the facility in a pre-packaged format from a local contracted pharmacy.</w:t>
            </w:r>
          </w:p>
          <w:p w14:paraId="244A22C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Fourteen medication charts were reviewed. The medication policy describes use of over-the-counter medications and traditional Māori medications. Interviews with RNs confirmed that where over-the-counter or alternative medications were being used, they were added to the medication chart by the GP following discussion with the resident and/or their family. Standing orders are not used at Green Gables.</w:t>
            </w:r>
          </w:p>
          <w:p w14:paraId="4B23D878" w14:textId="77777777" w:rsidR="00EB7645" w:rsidRPr="00BE00C7" w:rsidRDefault="00000000" w:rsidP="00BE00C7">
            <w:pPr>
              <w:pStyle w:val="OutcomeDescription"/>
              <w:spacing w:before="120" w:after="120"/>
              <w:rPr>
                <w:rFonts w:cs="Arial"/>
                <w:lang w:eastAsia="en-NZ"/>
              </w:rPr>
            </w:pPr>
          </w:p>
        </w:tc>
      </w:tr>
      <w:tr w:rsidR="003074B6" w14:paraId="7C207983" w14:textId="77777777">
        <w:tc>
          <w:tcPr>
            <w:tcW w:w="0" w:type="auto"/>
          </w:tcPr>
          <w:p w14:paraId="296E2BC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29199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6CAFAE2" w14:textId="77777777" w:rsidR="00EB7645" w:rsidRPr="00BE00C7" w:rsidRDefault="00000000" w:rsidP="00BE00C7">
            <w:pPr>
              <w:pStyle w:val="OutcomeDescription"/>
              <w:spacing w:before="120" w:after="120"/>
              <w:rPr>
                <w:rFonts w:cs="Arial"/>
                <w:lang w:eastAsia="en-NZ"/>
              </w:rPr>
            </w:pPr>
          </w:p>
        </w:tc>
        <w:tc>
          <w:tcPr>
            <w:tcW w:w="0" w:type="auto"/>
          </w:tcPr>
          <w:p w14:paraId="5407652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C06A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has been reviewed by the Oceania group qualified dietitian within the last two years. Recommendations made at that time have been implemented.</w:t>
            </w:r>
          </w:p>
          <w:p w14:paraId="02CB281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the current food control plan (FCP) registration extends from 14 March 2024 through to 28 March 2025. All temperatures were monitored appropriately and recorded as part of the plan.</w:t>
            </w:r>
          </w:p>
          <w:p w14:paraId="46CD5E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are accommodated in the daily meal plan. If Māori </w:t>
            </w:r>
            <w:r w:rsidRPr="00BE00C7">
              <w:rPr>
                <w:rFonts w:cs="Arial"/>
                <w:lang w:eastAsia="en-NZ"/>
              </w:rPr>
              <w:lastRenderedPageBreak/>
              <w:t>residents were admitted to Green Gables, they would have menu options that are culturally specific to te ao Māori.</w:t>
            </w:r>
          </w:p>
          <w:p w14:paraId="4FA2FF87"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 consultation and satisfaction with meals was verified by residents and family interviews, satisfaction surveys and resident meeting minutes. Residents were given sufficient time to eat their meals in an unhurried fashion and those requiring assistance by staff had this provided with dignity.</w:t>
            </w:r>
          </w:p>
          <w:p w14:paraId="3B31AF57" w14:textId="77777777" w:rsidR="00EB7645" w:rsidRPr="00BE00C7" w:rsidRDefault="00000000" w:rsidP="00BE00C7">
            <w:pPr>
              <w:pStyle w:val="OutcomeDescription"/>
              <w:spacing w:before="120" w:after="120"/>
              <w:rPr>
                <w:rFonts w:cs="Arial"/>
                <w:lang w:eastAsia="en-NZ"/>
              </w:rPr>
            </w:pPr>
          </w:p>
        </w:tc>
      </w:tr>
      <w:tr w:rsidR="003074B6" w14:paraId="47A83CA5" w14:textId="77777777">
        <w:tc>
          <w:tcPr>
            <w:tcW w:w="0" w:type="auto"/>
          </w:tcPr>
          <w:p w14:paraId="04E29F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518AB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E8A5403" w14:textId="77777777" w:rsidR="00EB7645" w:rsidRPr="00BE00C7" w:rsidRDefault="00000000" w:rsidP="00BE00C7">
            <w:pPr>
              <w:pStyle w:val="OutcomeDescription"/>
              <w:spacing w:before="120" w:after="120"/>
              <w:rPr>
                <w:rFonts w:cs="Arial"/>
                <w:lang w:eastAsia="en-NZ"/>
              </w:rPr>
            </w:pPr>
          </w:p>
        </w:tc>
        <w:tc>
          <w:tcPr>
            <w:tcW w:w="0" w:type="auto"/>
          </w:tcPr>
          <w:p w14:paraId="3BC5C7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8E5BE9"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This was evident in a file reviewed that required transfer to an acute care facility (refer subsection 3.2). The RN’s regular contact with whānau was well documented prior to transfer to and from the acute facility.</w:t>
            </w:r>
          </w:p>
          <w:p w14:paraId="4968D71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transfer documentation was noted to be comprehensive, with a full and accurate account of the event in the resident’s file.</w:t>
            </w:r>
          </w:p>
          <w:p w14:paraId="5610078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transfer of the resident back to Green Gables, the RN ensured all relevant information for ongoing care of the resident was communicated and documented.</w:t>
            </w:r>
          </w:p>
          <w:p w14:paraId="3FFCFFFC"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 is advised of their options to access other health and disability services, social support, or kaupapa Māori services if the need is identified.</w:t>
            </w:r>
          </w:p>
          <w:p w14:paraId="67F546C1" w14:textId="77777777" w:rsidR="00EB7645" w:rsidRPr="00BE00C7" w:rsidRDefault="00000000" w:rsidP="00BE00C7">
            <w:pPr>
              <w:pStyle w:val="OutcomeDescription"/>
              <w:spacing w:before="120" w:after="120"/>
              <w:rPr>
                <w:rFonts w:cs="Arial"/>
                <w:lang w:eastAsia="en-NZ"/>
              </w:rPr>
            </w:pPr>
          </w:p>
        </w:tc>
      </w:tr>
      <w:tr w:rsidR="003074B6" w14:paraId="6D91FBAC" w14:textId="77777777">
        <w:tc>
          <w:tcPr>
            <w:tcW w:w="0" w:type="auto"/>
          </w:tcPr>
          <w:p w14:paraId="1C2B5A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63476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w:t>
            </w:r>
            <w:r w:rsidRPr="00BE00C7">
              <w:rPr>
                <w:rFonts w:cs="Arial"/>
                <w:lang w:eastAsia="en-NZ"/>
              </w:rPr>
              <w:lastRenderedPageBreak/>
              <w:t>belonging, independence, interaction, and function.</w:t>
            </w:r>
          </w:p>
          <w:p w14:paraId="65BD36E2" w14:textId="77777777" w:rsidR="00EB7645" w:rsidRPr="00BE00C7" w:rsidRDefault="00000000" w:rsidP="00BE00C7">
            <w:pPr>
              <w:pStyle w:val="OutcomeDescription"/>
              <w:spacing w:before="120" w:after="120"/>
              <w:rPr>
                <w:rFonts w:cs="Arial"/>
                <w:lang w:eastAsia="en-NZ"/>
              </w:rPr>
            </w:pPr>
          </w:p>
        </w:tc>
        <w:tc>
          <w:tcPr>
            <w:tcW w:w="0" w:type="auto"/>
          </w:tcPr>
          <w:p w14:paraId="26EF7B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98F0B"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is publicly displayed.  It expires on 22 December 2024.</w:t>
            </w:r>
          </w:p>
          <w:p w14:paraId="08A16C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maintenance personnel described the maintenance schedule, which was sighted. Residents and staff confirmed they knew the processes they should follow if any repair or maintenance is required, that any requests are appropriately actioned, and that they are happy </w:t>
            </w:r>
            <w:r w:rsidRPr="00BE00C7">
              <w:rPr>
                <w:rFonts w:cs="Arial"/>
                <w:lang w:eastAsia="en-NZ"/>
              </w:rPr>
              <w:lastRenderedPageBreak/>
              <w:t xml:space="preserve">with the environment.  </w:t>
            </w:r>
          </w:p>
          <w:p w14:paraId="33DF1781" w14:textId="77777777" w:rsidR="00EB7645" w:rsidRPr="00BE00C7" w:rsidRDefault="00000000" w:rsidP="00BE00C7">
            <w:pPr>
              <w:pStyle w:val="OutcomeDescription"/>
              <w:spacing w:before="120" w:after="120"/>
              <w:rPr>
                <w:rFonts w:cs="Arial"/>
                <w:lang w:eastAsia="en-NZ"/>
              </w:rPr>
            </w:pPr>
            <w:r w:rsidRPr="00BE00C7">
              <w:rPr>
                <w:rFonts w:cs="Arial"/>
                <w:lang w:eastAsia="en-NZ"/>
              </w:rPr>
              <w:t>Equipment tagging and testing is current as confirmed in records, interviews with the BCM, maintenance personnel, and observation. Calibration of biomedical records was sighted. The facility has a lift to the first floor and is large enough to take a bed if required.</w:t>
            </w:r>
          </w:p>
          <w:p w14:paraId="109571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There is room to store mobility aids, and wheelchairs. A ceiling hoist has been installed in each of the resident’s rooms.</w:t>
            </w:r>
          </w:p>
          <w:p w14:paraId="502D39F7"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were culturally inclusive and suited the needs of the resident groups.  Communal areas are available for residents to relax, watch television or engage in activities. On the ground floor there is a café, dining area, lounge with a partial divider and a television lounge. On level one there is a large lounge, a smaller one off this, a main dining room and a private dining room.</w:t>
            </w:r>
          </w:p>
          <w:p w14:paraId="72158AA0" w14:textId="77777777" w:rsidR="00EB7645" w:rsidRPr="00BE00C7" w:rsidRDefault="00000000" w:rsidP="00BE00C7">
            <w:pPr>
              <w:pStyle w:val="OutcomeDescription"/>
              <w:spacing w:before="120" w:after="120"/>
              <w:rPr>
                <w:rFonts w:cs="Arial"/>
                <w:lang w:eastAsia="en-NZ"/>
              </w:rPr>
            </w:pPr>
            <w:r w:rsidRPr="00BE00C7">
              <w:rPr>
                <w:rFonts w:cs="Arial"/>
                <w:lang w:eastAsia="en-NZ"/>
              </w:rPr>
              <w:t>Lounge and dining areas are spacious and enable easy access for residents and staff.  Residents can access areas for privacy or socialisation, as preferred. Furniture is appropriate to the setting and residents’ needs.</w:t>
            </w:r>
          </w:p>
          <w:p w14:paraId="3F740A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Twenty-six care suites have a kitchenette. Twelve are on the ground level and fourteen are on the first floor. Thirty-five studio units have a kitchenette, small sitting room and a larger bedroom. Seventeen are on the ground floor, and eighteen are on the first floor. </w:t>
            </w:r>
          </w:p>
          <w:p w14:paraId="61C0931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care suites and studio units have their own ensuite off the bedroom. The number of toilets and shared accessible bathroom facilities for visitors and staff are adequate. Appropriately secured and approved handrails are provided in the bathroom areas, and other equipment is available to promote residents’ independence.</w:t>
            </w:r>
          </w:p>
          <w:p w14:paraId="33D7F2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provide single occupancy, with room for a second single bed if required. One room was shared by a couple at the time of the audit. </w:t>
            </w:r>
          </w:p>
          <w:p w14:paraId="7E9088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safely within the spacious bedrooms.  Rooms are </w:t>
            </w:r>
            <w:r w:rsidRPr="00BE00C7">
              <w:rPr>
                <w:rFonts w:cs="Arial"/>
                <w:lang w:eastAsia="en-NZ"/>
              </w:rPr>
              <w:lastRenderedPageBreak/>
              <w:t>personalised, with furnishings, photos and other personal items displayed. Staff reported that they respect the residents’ spiritual and cultural requirements. Residents, family and staff reported the adequacy of bedrooms.</w:t>
            </w:r>
          </w:p>
          <w:p w14:paraId="09DC2A1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 were happy with the environment, including heating and ventilation, privacy, and maintenance.  There is ceiling heating, which is supplemented by heat pumps. The heat pumps assist with cooling in summer. The temperature of each care suite and communal area can be individually adjusted. Each area was warm and well-ventilated throughout the audit. There is a gas wall-mounted heater in the small downstairs lounge room, which effectively warms the room and nearby areas.</w:t>
            </w:r>
          </w:p>
          <w:p w14:paraId="5E476821"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directors were aware of the requirement to consult and co-design with Māori in any future development.</w:t>
            </w:r>
          </w:p>
          <w:p w14:paraId="7472A788" w14:textId="77777777" w:rsidR="00EB7645" w:rsidRPr="00BE00C7" w:rsidRDefault="00000000" w:rsidP="00BE00C7">
            <w:pPr>
              <w:pStyle w:val="OutcomeDescription"/>
              <w:spacing w:before="120" w:after="120"/>
              <w:rPr>
                <w:rFonts w:cs="Arial"/>
                <w:lang w:eastAsia="en-NZ"/>
              </w:rPr>
            </w:pPr>
          </w:p>
        </w:tc>
      </w:tr>
      <w:tr w:rsidR="003074B6" w14:paraId="4DEB5809" w14:textId="77777777">
        <w:tc>
          <w:tcPr>
            <w:tcW w:w="0" w:type="auto"/>
          </w:tcPr>
          <w:p w14:paraId="1470EB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B0D04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D5FD695" w14:textId="77777777" w:rsidR="00EB7645" w:rsidRPr="00BE00C7" w:rsidRDefault="00000000" w:rsidP="00BE00C7">
            <w:pPr>
              <w:pStyle w:val="OutcomeDescription"/>
              <w:spacing w:before="120" w:after="120"/>
              <w:rPr>
                <w:rFonts w:cs="Arial"/>
                <w:lang w:eastAsia="en-NZ"/>
              </w:rPr>
            </w:pPr>
          </w:p>
        </w:tc>
        <w:tc>
          <w:tcPr>
            <w:tcW w:w="0" w:type="auto"/>
          </w:tcPr>
          <w:p w14:paraId="70B7F6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8248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26 August 2020.</w:t>
            </w:r>
          </w:p>
          <w:p w14:paraId="0D167B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the New Zealand Fire Service, the most recent being on 16 February 2024. The record was sighted.  </w:t>
            </w:r>
          </w:p>
          <w:p w14:paraId="32797462"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 the procedures to be followed.  A wall-mounted flip chart provides guidance for staff on responding to civil emergency and disaster events. Emergency evacuation plans were displayed and known to staff. The emergency plan met the needs of people with disabilities in an emergency.</w:t>
            </w:r>
          </w:p>
          <w:p w14:paraId="7872B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orientation programme includes fire and security training.  Staff files evidenced staff were trained in emergency procedures.  Staff confirmed their awareness of the emergency procedures and attend regular fire drills. Fire extinguishers, call boxes, floor plans, sprinklers alarms, exit signs, and fire action notices were sighted. Staff reported attending fire safety training in February 2024 and records confirmed this.</w:t>
            </w:r>
          </w:p>
          <w:p w14:paraId="6399CC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CM reported that all RNs have a current first aid certificate. Current </w:t>
            </w:r>
            <w:r w:rsidRPr="00BE00C7">
              <w:rPr>
                <w:rFonts w:cs="Arial"/>
                <w:lang w:eastAsia="en-NZ"/>
              </w:rPr>
              <w:lastRenderedPageBreak/>
              <w:t>first aid certificates were sighted.</w:t>
            </w:r>
          </w:p>
          <w:p w14:paraId="1E4858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family reported staff respond promptly to call bells.  </w:t>
            </w:r>
          </w:p>
          <w:p w14:paraId="5875DB7D"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medical supplies, PPE, and a gas BBQ, were sighted. Supplies were last checked on 16 May 2024. Four tanks, each with five hundred litres of water, were sighted onsite, providing sufficient supplies for use in an emergency. Additionally, three hundred litres of water is stored on each floor.  This meets the National Emergency Management Agency recommendations for the region.  The maintenance personnel reported that emergency lighting is in place.</w:t>
            </w:r>
          </w:p>
          <w:p w14:paraId="3C722E97"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were in place. Exterior doors require a swipe card for entry except the main entrance door. Staff reported that the main door is locked, and windows are closed at a predetermined time. Residents and family were familiar with emergency and security arrangements. Closed-circuit cameras have been installed at the external doors. Signage is in place, and its use does not compromise personal privacy. An intercom and camera are present at the main door to enable staff to identify visitors before granting access after-hours.</w:t>
            </w:r>
          </w:p>
          <w:p w14:paraId="03722B14" w14:textId="77777777" w:rsidR="00EB7645" w:rsidRPr="00BE00C7" w:rsidRDefault="00000000" w:rsidP="00BE00C7">
            <w:pPr>
              <w:pStyle w:val="OutcomeDescription"/>
              <w:spacing w:before="120" w:after="120"/>
              <w:rPr>
                <w:rFonts w:cs="Arial"/>
                <w:lang w:eastAsia="en-NZ"/>
              </w:rPr>
            </w:pPr>
          </w:p>
        </w:tc>
      </w:tr>
      <w:tr w:rsidR="003074B6" w14:paraId="75AA0F04" w14:textId="77777777">
        <w:tc>
          <w:tcPr>
            <w:tcW w:w="0" w:type="auto"/>
          </w:tcPr>
          <w:p w14:paraId="589D2C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0CDBF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0469559" w14:textId="77777777" w:rsidR="00EB7645" w:rsidRPr="00BE00C7" w:rsidRDefault="00000000" w:rsidP="00BE00C7">
            <w:pPr>
              <w:pStyle w:val="OutcomeDescription"/>
              <w:spacing w:before="120" w:after="120"/>
              <w:rPr>
                <w:rFonts w:cs="Arial"/>
                <w:lang w:eastAsia="en-NZ"/>
              </w:rPr>
            </w:pPr>
          </w:p>
        </w:tc>
        <w:tc>
          <w:tcPr>
            <w:tcW w:w="0" w:type="auto"/>
          </w:tcPr>
          <w:p w14:paraId="7EDC27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F01E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led by the Oceania general manager (nursing and clinical strategy), who also leads the clinical governance team. The clinical governance group oversees all clinical issues within Oceania Healthcare.</w:t>
            </w:r>
          </w:p>
          <w:p w14:paraId="3CBD70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and AMS programmes were appropriate to the size and complexity of the service, had been approved by the governing body, were linked to the quality improvement system, and were being reviewed and reported on yearly. Green Gables has IP and AMS outlined in its policy documents. This is now being supported at the governance level through clinically competent specialist personnel who make sure that IP and AMS are being appropriately managed at the facility level and to support facilities as required. The infection prevention and control coordinator (IPCC) can access IP and AMS </w:t>
            </w:r>
            <w:r w:rsidRPr="00BE00C7">
              <w:rPr>
                <w:rFonts w:cs="Arial"/>
                <w:lang w:eastAsia="en-NZ"/>
              </w:rPr>
              <w:lastRenderedPageBreak/>
              <w:t>expertise through the regional Oceania clinical manager and Te Whatu Ora Nelson Marlborough, and the GP. Infection prevention and AMS information is discussed at the facility level, at clinical governance meetings, regional meetings and reported to the board at board meetings.</w:t>
            </w:r>
          </w:p>
          <w:p w14:paraId="4AA201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collects data on infections and antibiotic use and has added ethnicity to its data. The data is being collected and analysed to support IP and AMS programmes at Green Gables and the wider Oceania group.</w:t>
            </w:r>
          </w:p>
          <w:p w14:paraId="4417B7B7"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5CEFC6CA" w14:textId="77777777" w:rsidR="00EB7645" w:rsidRPr="00BE00C7" w:rsidRDefault="00000000" w:rsidP="00BE00C7">
            <w:pPr>
              <w:pStyle w:val="OutcomeDescription"/>
              <w:spacing w:before="120" w:after="120"/>
              <w:rPr>
                <w:rFonts w:cs="Arial"/>
                <w:lang w:eastAsia="en-NZ"/>
              </w:rPr>
            </w:pPr>
          </w:p>
        </w:tc>
      </w:tr>
      <w:tr w:rsidR="003074B6" w14:paraId="2F542759" w14:textId="77777777">
        <w:tc>
          <w:tcPr>
            <w:tcW w:w="0" w:type="auto"/>
          </w:tcPr>
          <w:p w14:paraId="180F12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53CF1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DFC4A52" w14:textId="77777777" w:rsidR="00EB7645" w:rsidRPr="00BE00C7" w:rsidRDefault="00000000" w:rsidP="00BE00C7">
            <w:pPr>
              <w:pStyle w:val="OutcomeDescription"/>
              <w:spacing w:before="120" w:after="120"/>
              <w:rPr>
                <w:rFonts w:cs="Arial"/>
                <w:lang w:eastAsia="en-NZ"/>
              </w:rPr>
            </w:pPr>
          </w:p>
        </w:tc>
        <w:tc>
          <w:tcPr>
            <w:tcW w:w="0" w:type="auto"/>
          </w:tcPr>
          <w:p w14:paraId="32BC0D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CF4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at Green Gables, with reporting lines to the CM and the Oceania regional clinical manager. Their advice has been sought when making decisions around procurement relevant to care delivery, and they can be consulted about new builds, facility changes, and policies. The IPCC has the appropriate skills, knowledge and qualifications for the role and confirmed access to the necessary resources and support from Te Whatu Ora Nelson Marlborough IP clinical nurse specialist.</w:t>
            </w:r>
          </w:p>
          <w:p w14:paraId="35FD55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and AMS policies reflected the requirements of the Ngā Paerewa standard and are based on current accepted good practice. These policies were developed by Oceania with input from clinical specialists in infection prevention and control. Cultural advice was accessed by the Oceania quality manager who developed the infection control policies and programme. Policy and procedure and staff interviews demonstrated compliance with decontamination of reusable medical devices and shared mechanical equipment.</w:t>
            </w:r>
          </w:p>
          <w:p w14:paraId="52BC96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IPCC is aware of the need to consult with infection prevention personnel in relation to the proposed design of any new building or when significant changes are proposed to the existing facility.</w:t>
            </w:r>
          </w:p>
          <w:p w14:paraId="27D818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interviewed at Green Gables were familiar with IC policies. Staff orientating to the facility had IPC as part of the orientation process. Staff were observed to follow policy and procedure correctly. Education and competency had been delivered as required in the 2023 education and competency programmes. All staff had education on infection control, personal protective equipment (PPE) use, hand hygiene or outbreak management, and all competencies were assessed as required in the competency programme. </w:t>
            </w:r>
          </w:p>
          <w:p w14:paraId="283490A8" w14:textId="77777777" w:rsidR="00EB7645" w:rsidRPr="00BE00C7" w:rsidRDefault="00000000" w:rsidP="00BE00C7">
            <w:pPr>
              <w:pStyle w:val="OutcomeDescription"/>
              <w:spacing w:before="120" w:after="120"/>
              <w:rPr>
                <w:rFonts w:cs="Arial"/>
                <w:lang w:eastAsia="en-NZ"/>
              </w:rPr>
            </w:pPr>
            <w:r w:rsidRPr="00BE00C7">
              <w:rPr>
                <w:rFonts w:cs="Arial"/>
                <w:lang w:eastAsia="en-NZ"/>
              </w:rPr>
              <w:t>Individual-use items are discarded after being used. Residents and whānau are educated about IP relevant to their needs. Staff who speak te reo Māori can provide IPCC with infection advice in te reo Māori if needed for Māori accessing the service. There were educational resources available in te reo Māori.</w:t>
            </w:r>
          </w:p>
          <w:p w14:paraId="039E46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PPE available, stocks were sighted, and staff verified their availability at interview.</w:t>
            </w:r>
          </w:p>
          <w:p w14:paraId="69F67785" w14:textId="77777777" w:rsidR="00EB7645" w:rsidRPr="00BE00C7" w:rsidRDefault="00000000" w:rsidP="00BE00C7">
            <w:pPr>
              <w:pStyle w:val="OutcomeDescription"/>
              <w:spacing w:before="120" w:after="120"/>
              <w:rPr>
                <w:rFonts w:cs="Arial"/>
                <w:lang w:eastAsia="en-NZ"/>
              </w:rPr>
            </w:pPr>
          </w:p>
        </w:tc>
      </w:tr>
      <w:tr w:rsidR="003074B6" w14:paraId="7CB810EE" w14:textId="77777777">
        <w:tc>
          <w:tcPr>
            <w:tcW w:w="0" w:type="auto"/>
          </w:tcPr>
          <w:p w14:paraId="4A7648B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6D158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83BDD52" w14:textId="77777777" w:rsidR="00EB7645" w:rsidRPr="00BE00C7" w:rsidRDefault="00000000" w:rsidP="00BE00C7">
            <w:pPr>
              <w:pStyle w:val="OutcomeDescription"/>
              <w:spacing w:before="120" w:after="120"/>
              <w:rPr>
                <w:rFonts w:cs="Arial"/>
                <w:lang w:eastAsia="en-NZ"/>
              </w:rPr>
            </w:pPr>
          </w:p>
        </w:tc>
        <w:tc>
          <w:tcPr>
            <w:tcW w:w="0" w:type="auto"/>
          </w:tcPr>
          <w:p w14:paraId="4BA6519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947C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w:t>
            </w:r>
          </w:p>
          <w:p w14:paraId="498661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AMS programme has been approved by the governance body. The policy in place aims to promote optimal management of antimicrobials to maximise the effectiveness of treatment and minimise potential for harm. Responsible use of antimicrobials is promoted, with the prescriber having the overall responsibility for prescribing antimicrobials. Monthly records of infections and prescribed antibiotic treatment were maintained. The monthly analysis of data includes antibiotic usage and identifies areas for improvement.</w:t>
            </w:r>
          </w:p>
          <w:p w14:paraId="4361098C" w14:textId="77777777" w:rsidR="00EB7645" w:rsidRPr="00BE00C7" w:rsidRDefault="00000000" w:rsidP="00BE00C7">
            <w:pPr>
              <w:pStyle w:val="OutcomeDescription"/>
              <w:spacing w:before="120" w:after="120"/>
              <w:rPr>
                <w:rFonts w:cs="Arial"/>
                <w:lang w:eastAsia="en-NZ"/>
              </w:rPr>
            </w:pPr>
          </w:p>
        </w:tc>
      </w:tr>
      <w:tr w:rsidR="003074B6" w14:paraId="285CAFCF" w14:textId="77777777">
        <w:tc>
          <w:tcPr>
            <w:tcW w:w="0" w:type="auto"/>
          </w:tcPr>
          <w:p w14:paraId="3C6E68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2B87C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A84CC3F" w14:textId="77777777" w:rsidR="00EB7645" w:rsidRPr="00BE00C7" w:rsidRDefault="00000000" w:rsidP="00BE00C7">
            <w:pPr>
              <w:pStyle w:val="OutcomeDescription"/>
              <w:spacing w:before="120" w:after="120"/>
              <w:rPr>
                <w:rFonts w:cs="Arial"/>
                <w:lang w:eastAsia="en-NZ"/>
              </w:rPr>
            </w:pPr>
          </w:p>
        </w:tc>
        <w:tc>
          <w:tcPr>
            <w:tcW w:w="0" w:type="auto"/>
          </w:tcPr>
          <w:p w14:paraId="439C4A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E4EFDE"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HAIs is appropriate for the size and complexity of the service. It is in line with priorities recommended for long-term care facilities and is defined in the IPC programme.</w:t>
            </w:r>
          </w:p>
          <w:p w14:paraId="32D300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Monthly surveillance data is collated and analysed to identify any trends, possible causative factors and actions plans are implemented. The HAIs being monitored include, for example, infections of the urinary tract, respiratory tract, skin, fungal, eye and multi-resistant organisms. Surveillance tools are used to collect infection and ethnicity data, and standardised surveillance definitions are used. Results of the surveillance programme are shared with staff (e.g., in the staff meetings) and governance.</w:t>
            </w:r>
          </w:p>
          <w:p w14:paraId="63B4C0FE" w14:textId="77777777" w:rsidR="00EB7645" w:rsidRPr="00BE00C7" w:rsidRDefault="00000000" w:rsidP="00BE00C7">
            <w:pPr>
              <w:pStyle w:val="OutcomeDescription"/>
              <w:spacing w:before="120" w:after="120"/>
              <w:rPr>
                <w:rFonts w:cs="Arial"/>
                <w:lang w:eastAsia="en-NZ"/>
              </w:rPr>
            </w:pPr>
          </w:p>
        </w:tc>
      </w:tr>
      <w:tr w:rsidR="003074B6" w14:paraId="3F950433" w14:textId="77777777">
        <w:tc>
          <w:tcPr>
            <w:tcW w:w="0" w:type="auto"/>
          </w:tcPr>
          <w:p w14:paraId="06D162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9B7F6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1720594" w14:textId="77777777" w:rsidR="00EB7645" w:rsidRPr="00BE00C7" w:rsidRDefault="00000000" w:rsidP="00BE00C7">
            <w:pPr>
              <w:pStyle w:val="OutcomeDescription"/>
              <w:spacing w:before="120" w:after="120"/>
              <w:rPr>
                <w:rFonts w:cs="Arial"/>
                <w:lang w:eastAsia="en-NZ"/>
              </w:rPr>
            </w:pPr>
          </w:p>
        </w:tc>
        <w:tc>
          <w:tcPr>
            <w:tcW w:w="0" w:type="auto"/>
          </w:tcPr>
          <w:p w14:paraId="5E4CCB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249ABE" w14:textId="77777777" w:rsidR="00EB7645" w:rsidRPr="00BE00C7" w:rsidRDefault="00000000" w:rsidP="00BE00C7">
            <w:pPr>
              <w:pStyle w:val="OutcomeDescription"/>
              <w:spacing w:before="120" w:after="120"/>
              <w:rPr>
                <w:rFonts w:cs="Arial"/>
                <w:lang w:eastAsia="en-NZ"/>
              </w:rPr>
            </w:pPr>
            <w:r w:rsidRPr="00BE00C7">
              <w:rPr>
                <w:rFonts w:cs="Arial"/>
                <w:lang w:eastAsia="en-NZ"/>
              </w:rPr>
              <w:t>A new modern, clean and hygienic environment at Green Gables supports prevention of infection and mitigation of transmission of antimicrobial-resistant organisms. Suitable PPE was provided to those handling contaminated material, waste, and hazardous substances, and those who perform cleaning and laundering roles. Safe and secure storage areas were available, and staff had appropriate and adequate access, as required.</w:t>
            </w:r>
          </w:p>
          <w:p w14:paraId="6E5140D0" w14:textId="77777777" w:rsidR="00EB7645" w:rsidRPr="00BE00C7" w:rsidRDefault="00000000" w:rsidP="00BE00C7">
            <w:pPr>
              <w:pStyle w:val="OutcomeDescription"/>
              <w:spacing w:before="120" w:after="120"/>
              <w:rPr>
                <w:rFonts w:cs="Arial"/>
                <w:lang w:eastAsia="en-NZ"/>
              </w:rPr>
            </w:pPr>
            <w:r w:rsidRPr="00BE00C7">
              <w:rPr>
                <w:rFonts w:cs="Arial"/>
                <w:lang w:eastAsia="en-NZ"/>
              </w:rPr>
              <w:t>Chemicals were labelled and stored safely within these areas, with a closed system in place. Sluice rooms were available for the disposal of soiled water/waste. Hand washing facilities and cleansing gel were available throughout the facility. Staff followed documented policies and processes for the management of waste and infectious and hazardous substances.</w:t>
            </w:r>
          </w:p>
          <w:p w14:paraId="3E306A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and observed demonstrated good knowledge of policies and processes for the management of waste and infectious and hazardous substances. Laundry (sent to another Oceania local facility) and cleaning (inhouse) processes are monitored for effectiveness via the internal audit programme. The resident satisfaction survey and residents’ meeting minutes were sighted. Staff involved have completed relevant training and were observed to carry out duties safely. </w:t>
            </w:r>
          </w:p>
          <w:p w14:paraId="6283714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 reported that the laundry is managed well, and the facility, communal and personal spaces, are kept clean and tidy. This was confirmed through observation during audit.</w:t>
            </w:r>
          </w:p>
          <w:p w14:paraId="679E50F7" w14:textId="77777777" w:rsidR="00EB7645" w:rsidRPr="00BE00C7" w:rsidRDefault="00000000" w:rsidP="00BE00C7">
            <w:pPr>
              <w:pStyle w:val="OutcomeDescription"/>
              <w:spacing w:before="120" w:after="120"/>
              <w:rPr>
                <w:rFonts w:cs="Arial"/>
                <w:lang w:eastAsia="en-NZ"/>
              </w:rPr>
            </w:pPr>
          </w:p>
        </w:tc>
      </w:tr>
      <w:tr w:rsidR="003074B6" w14:paraId="1B2A5055" w14:textId="77777777">
        <w:tc>
          <w:tcPr>
            <w:tcW w:w="0" w:type="auto"/>
          </w:tcPr>
          <w:p w14:paraId="52CEE4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26C9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0C8CAF" w14:textId="77777777" w:rsidR="00EB7645" w:rsidRPr="00BE00C7" w:rsidRDefault="00000000" w:rsidP="00BE00C7">
            <w:pPr>
              <w:pStyle w:val="OutcomeDescription"/>
              <w:spacing w:before="120" w:after="120"/>
              <w:rPr>
                <w:rFonts w:cs="Arial"/>
                <w:lang w:eastAsia="en-NZ"/>
              </w:rPr>
            </w:pPr>
          </w:p>
        </w:tc>
        <w:tc>
          <w:tcPr>
            <w:tcW w:w="0" w:type="auto"/>
          </w:tcPr>
          <w:p w14:paraId="717E125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920AFE"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minimisation to elimination. The board is fully supportive of this approach and confirmed a full report on restraint use from all facilities, including Green Gables, is provided to the board annually. At the time of audit, no residents were using a restraint, and there has been no restraint in use at Green Gables since December 2023.</w:t>
            </w:r>
          </w:p>
          <w:p w14:paraId="59BC6A1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the CM who would provide support and oversight should restraint be required in the future. There is a job description that outlines the role, and the RC has had specific education around restraint and its use. Competencies for staff in least restrictive practice, safe restraint practice, alternative cultural-specific interventions, de-escalation techniques, and restraint monitoring have been completed. Safe restraint is covered in the orientation programme of the facility.</w:t>
            </w:r>
          </w:p>
          <w:p w14:paraId="2C3F00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Green Gables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w:t>
            </w:r>
          </w:p>
          <w:p w14:paraId="08132E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restraint register is maintained and contains enough information to provide an auditable record of restraint should this be required. </w:t>
            </w:r>
          </w:p>
          <w:p w14:paraId="62E3641C"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48846BD9" w14:textId="77777777" w:rsidR="00EB7645" w:rsidRPr="00BE00C7" w:rsidRDefault="00000000" w:rsidP="00BE00C7">
            <w:pPr>
              <w:pStyle w:val="OutcomeDescription"/>
              <w:spacing w:before="120" w:after="120"/>
              <w:rPr>
                <w:rFonts w:cs="Arial"/>
                <w:lang w:eastAsia="en-NZ"/>
              </w:rPr>
            </w:pPr>
          </w:p>
        </w:tc>
      </w:tr>
    </w:tbl>
    <w:p w14:paraId="415880F4"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B57F3B1" w14:textId="77777777" w:rsidR="00460D43" w:rsidRDefault="00000000">
      <w:pPr>
        <w:pStyle w:val="Heading1"/>
        <w:rPr>
          <w:rFonts w:cs="Arial"/>
        </w:rPr>
      </w:pPr>
      <w:r>
        <w:rPr>
          <w:rFonts w:cs="Arial"/>
        </w:rPr>
        <w:lastRenderedPageBreak/>
        <w:t>Specific results for criterion where corrective actions are required</w:t>
      </w:r>
    </w:p>
    <w:p w14:paraId="782CD27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A92571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w:t>
      </w:r>
      <w:r w:rsidRPr="00FB778F">
        <w:rPr>
          <w:rFonts w:cs="Arial"/>
          <w:sz w:val="24"/>
          <w:lang w:eastAsia="en-NZ"/>
        </w:rPr>
        <w:t xml:space="preserve"> work, recognising Māori, and supporting Māori in their aspirations, whatever they are (that is, recognising mana motuhake) relates to subsection 1.1: Pae ora healthy futures in Section 1 Our rights. </w:t>
      </w:r>
    </w:p>
    <w:p w14:paraId="0B2350E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074B6" w14:paraId="73413C75" w14:textId="77777777">
        <w:tc>
          <w:tcPr>
            <w:tcW w:w="0" w:type="auto"/>
          </w:tcPr>
          <w:p w14:paraId="64E2FE4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8B958D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9918E76" w14:textId="77777777" w:rsidR="00460D43" w:rsidRDefault="00000000">
      <w:pPr>
        <w:pStyle w:val="Heading1"/>
        <w:rPr>
          <w:rFonts w:cs="Arial"/>
        </w:rPr>
      </w:pPr>
      <w:r>
        <w:rPr>
          <w:rFonts w:cs="Arial"/>
        </w:rPr>
        <w:lastRenderedPageBreak/>
        <w:t>Specific results for criterion where a continuous improvement has been recorded</w:t>
      </w:r>
    </w:p>
    <w:p w14:paraId="10132FB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B1A5A1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4CFE2F2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074B6" w14:paraId="7B0A2C3A" w14:textId="77777777">
        <w:tc>
          <w:tcPr>
            <w:tcW w:w="0" w:type="auto"/>
          </w:tcPr>
          <w:p w14:paraId="4E645B2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04FA25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A137B10"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D9C6" w14:textId="77777777" w:rsidR="002A22AD" w:rsidRDefault="002A22AD">
      <w:r>
        <w:separator/>
      </w:r>
    </w:p>
  </w:endnote>
  <w:endnote w:type="continuationSeparator" w:id="0">
    <w:p w14:paraId="53F7B017" w14:textId="77777777" w:rsidR="002A22AD" w:rsidRDefault="002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D267" w14:textId="77777777" w:rsidR="000B00BC" w:rsidRDefault="00000000">
    <w:pPr>
      <w:pStyle w:val="Footer"/>
    </w:pPr>
  </w:p>
  <w:p w14:paraId="36299DE6" w14:textId="77777777" w:rsidR="005A4A55" w:rsidRDefault="00000000"/>
  <w:p w14:paraId="759B4A4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28C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Green Gables</w:t>
    </w:r>
    <w:bookmarkEnd w:id="59"/>
    <w:r>
      <w:rPr>
        <w:rFonts w:cs="Arial"/>
        <w:sz w:val="16"/>
        <w:szCs w:val="20"/>
      </w:rPr>
      <w:tab/>
      <w:t xml:space="preserve">Date of Audit: </w:t>
    </w:r>
    <w:bookmarkStart w:id="60" w:name="AuditStartDate1"/>
    <w:r>
      <w:rPr>
        <w:rFonts w:cs="Arial"/>
        <w:sz w:val="16"/>
        <w:szCs w:val="20"/>
      </w:rPr>
      <w:t>19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FF6BD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14E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8BA2" w14:textId="77777777" w:rsidR="002A22AD" w:rsidRDefault="002A22AD">
      <w:r>
        <w:separator/>
      </w:r>
    </w:p>
  </w:footnote>
  <w:footnote w:type="continuationSeparator" w:id="0">
    <w:p w14:paraId="7050BDD1" w14:textId="77777777" w:rsidR="002A22AD" w:rsidRDefault="002A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4B6" w14:textId="77777777" w:rsidR="000B00BC" w:rsidRDefault="00000000">
    <w:pPr>
      <w:pStyle w:val="Header"/>
    </w:pPr>
  </w:p>
  <w:p w14:paraId="591D045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1A02" w14:textId="77777777" w:rsidR="000B00BC" w:rsidRDefault="00000000">
    <w:pPr>
      <w:pStyle w:val="Header"/>
    </w:pPr>
  </w:p>
  <w:p w14:paraId="158B6EF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EFE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62A0DBA">
      <w:start w:val="1"/>
      <w:numFmt w:val="decimal"/>
      <w:lvlText w:val="%1."/>
      <w:lvlJc w:val="left"/>
      <w:pPr>
        <w:ind w:left="360" w:hanging="360"/>
      </w:pPr>
    </w:lvl>
    <w:lvl w:ilvl="1" w:tplc="04BA9546" w:tentative="1">
      <w:start w:val="1"/>
      <w:numFmt w:val="lowerLetter"/>
      <w:lvlText w:val="%2."/>
      <w:lvlJc w:val="left"/>
      <w:pPr>
        <w:ind w:left="1080" w:hanging="360"/>
      </w:pPr>
    </w:lvl>
    <w:lvl w:ilvl="2" w:tplc="097C322E" w:tentative="1">
      <w:start w:val="1"/>
      <w:numFmt w:val="lowerRoman"/>
      <w:lvlText w:val="%3."/>
      <w:lvlJc w:val="right"/>
      <w:pPr>
        <w:ind w:left="1800" w:hanging="180"/>
      </w:pPr>
    </w:lvl>
    <w:lvl w:ilvl="3" w:tplc="62CCAF20" w:tentative="1">
      <w:start w:val="1"/>
      <w:numFmt w:val="decimal"/>
      <w:lvlText w:val="%4."/>
      <w:lvlJc w:val="left"/>
      <w:pPr>
        <w:ind w:left="2520" w:hanging="360"/>
      </w:pPr>
    </w:lvl>
    <w:lvl w:ilvl="4" w:tplc="125A6BD2" w:tentative="1">
      <w:start w:val="1"/>
      <w:numFmt w:val="lowerLetter"/>
      <w:lvlText w:val="%5."/>
      <w:lvlJc w:val="left"/>
      <w:pPr>
        <w:ind w:left="3240" w:hanging="360"/>
      </w:pPr>
    </w:lvl>
    <w:lvl w:ilvl="5" w:tplc="AE045AF2" w:tentative="1">
      <w:start w:val="1"/>
      <w:numFmt w:val="lowerRoman"/>
      <w:lvlText w:val="%6."/>
      <w:lvlJc w:val="right"/>
      <w:pPr>
        <w:ind w:left="3960" w:hanging="180"/>
      </w:pPr>
    </w:lvl>
    <w:lvl w:ilvl="6" w:tplc="57027F04" w:tentative="1">
      <w:start w:val="1"/>
      <w:numFmt w:val="decimal"/>
      <w:lvlText w:val="%7."/>
      <w:lvlJc w:val="left"/>
      <w:pPr>
        <w:ind w:left="4680" w:hanging="360"/>
      </w:pPr>
    </w:lvl>
    <w:lvl w:ilvl="7" w:tplc="245E8F16" w:tentative="1">
      <w:start w:val="1"/>
      <w:numFmt w:val="lowerLetter"/>
      <w:lvlText w:val="%8."/>
      <w:lvlJc w:val="left"/>
      <w:pPr>
        <w:ind w:left="5400" w:hanging="360"/>
      </w:pPr>
    </w:lvl>
    <w:lvl w:ilvl="8" w:tplc="ADB6B4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F2810DE">
      <w:start w:val="1"/>
      <w:numFmt w:val="bullet"/>
      <w:lvlText w:val=""/>
      <w:lvlJc w:val="left"/>
      <w:pPr>
        <w:ind w:left="720" w:hanging="360"/>
      </w:pPr>
      <w:rPr>
        <w:rFonts w:ascii="Symbol" w:hAnsi="Symbol" w:hint="default"/>
      </w:rPr>
    </w:lvl>
    <w:lvl w:ilvl="1" w:tplc="6A76BF80" w:tentative="1">
      <w:start w:val="1"/>
      <w:numFmt w:val="bullet"/>
      <w:lvlText w:val="o"/>
      <w:lvlJc w:val="left"/>
      <w:pPr>
        <w:ind w:left="1440" w:hanging="360"/>
      </w:pPr>
      <w:rPr>
        <w:rFonts w:ascii="Courier New" w:hAnsi="Courier New" w:cs="Courier New" w:hint="default"/>
      </w:rPr>
    </w:lvl>
    <w:lvl w:ilvl="2" w:tplc="4894C40E" w:tentative="1">
      <w:start w:val="1"/>
      <w:numFmt w:val="bullet"/>
      <w:lvlText w:val=""/>
      <w:lvlJc w:val="left"/>
      <w:pPr>
        <w:ind w:left="2160" w:hanging="360"/>
      </w:pPr>
      <w:rPr>
        <w:rFonts w:ascii="Wingdings" w:hAnsi="Wingdings" w:hint="default"/>
      </w:rPr>
    </w:lvl>
    <w:lvl w:ilvl="3" w:tplc="F7923C80" w:tentative="1">
      <w:start w:val="1"/>
      <w:numFmt w:val="bullet"/>
      <w:lvlText w:val=""/>
      <w:lvlJc w:val="left"/>
      <w:pPr>
        <w:ind w:left="2880" w:hanging="360"/>
      </w:pPr>
      <w:rPr>
        <w:rFonts w:ascii="Symbol" w:hAnsi="Symbol" w:hint="default"/>
      </w:rPr>
    </w:lvl>
    <w:lvl w:ilvl="4" w:tplc="5296AC54" w:tentative="1">
      <w:start w:val="1"/>
      <w:numFmt w:val="bullet"/>
      <w:lvlText w:val="o"/>
      <w:lvlJc w:val="left"/>
      <w:pPr>
        <w:ind w:left="3600" w:hanging="360"/>
      </w:pPr>
      <w:rPr>
        <w:rFonts w:ascii="Courier New" w:hAnsi="Courier New" w:cs="Courier New" w:hint="default"/>
      </w:rPr>
    </w:lvl>
    <w:lvl w:ilvl="5" w:tplc="B51ECB38" w:tentative="1">
      <w:start w:val="1"/>
      <w:numFmt w:val="bullet"/>
      <w:lvlText w:val=""/>
      <w:lvlJc w:val="left"/>
      <w:pPr>
        <w:ind w:left="4320" w:hanging="360"/>
      </w:pPr>
      <w:rPr>
        <w:rFonts w:ascii="Wingdings" w:hAnsi="Wingdings" w:hint="default"/>
      </w:rPr>
    </w:lvl>
    <w:lvl w:ilvl="6" w:tplc="98906EA8" w:tentative="1">
      <w:start w:val="1"/>
      <w:numFmt w:val="bullet"/>
      <w:lvlText w:val=""/>
      <w:lvlJc w:val="left"/>
      <w:pPr>
        <w:ind w:left="5040" w:hanging="360"/>
      </w:pPr>
      <w:rPr>
        <w:rFonts w:ascii="Symbol" w:hAnsi="Symbol" w:hint="default"/>
      </w:rPr>
    </w:lvl>
    <w:lvl w:ilvl="7" w:tplc="C19651C6" w:tentative="1">
      <w:start w:val="1"/>
      <w:numFmt w:val="bullet"/>
      <w:lvlText w:val="o"/>
      <w:lvlJc w:val="left"/>
      <w:pPr>
        <w:ind w:left="5760" w:hanging="360"/>
      </w:pPr>
      <w:rPr>
        <w:rFonts w:ascii="Courier New" w:hAnsi="Courier New" w:cs="Courier New" w:hint="default"/>
      </w:rPr>
    </w:lvl>
    <w:lvl w:ilvl="8" w:tplc="688069FC" w:tentative="1">
      <w:start w:val="1"/>
      <w:numFmt w:val="bullet"/>
      <w:lvlText w:val=""/>
      <w:lvlJc w:val="left"/>
      <w:pPr>
        <w:ind w:left="6480" w:hanging="360"/>
      </w:pPr>
      <w:rPr>
        <w:rFonts w:ascii="Wingdings" w:hAnsi="Wingdings" w:hint="default"/>
      </w:rPr>
    </w:lvl>
  </w:abstractNum>
  <w:num w:numId="1" w16cid:durableId="2038578047">
    <w:abstractNumId w:val="1"/>
  </w:num>
  <w:num w:numId="2" w16cid:durableId="43255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4B6"/>
    <w:rsid w:val="0012334D"/>
    <w:rsid w:val="002A22AD"/>
    <w:rsid w:val="003074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412A"/>
  <w15:docId w15:val="{3AF08B74-9EC6-4D62-90D9-9D8FA758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12139</Words>
  <Characters>69194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2023-11-22T21:26:00Z</dcterms:created>
  <dcterms:modified xsi:type="dcterms:W3CDTF">2024-08-11T21:51:00Z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