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F796" w14:textId="77777777" w:rsidR="00000000" w:rsidRDefault="00000000">
      <w:pPr>
        <w:pStyle w:val="Heading1"/>
        <w:rPr>
          <w:rFonts w:cs="Arial"/>
        </w:rPr>
      </w:pPr>
      <w:bookmarkStart w:id="0" w:name="PRMS_RIName"/>
      <w:r>
        <w:rPr>
          <w:rFonts w:cs="Arial"/>
        </w:rPr>
        <w:t>The Ultimate Care Group Limited - Lansdowne Court</w:t>
      </w:r>
      <w:bookmarkEnd w:id="0"/>
    </w:p>
    <w:p w14:paraId="4682E6B8" w14:textId="77777777" w:rsidR="00000000" w:rsidRDefault="00000000">
      <w:pPr>
        <w:pStyle w:val="Heading2"/>
        <w:spacing w:after="0"/>
        <w:rPr>
          <w:rFonts w:cs="Arial"/>
        </w:rPr>
      </w:pPr>
      <w:r>
        <w:rPr>
          <w:rFonts w:cs="Arial"/>
        </w:rPr>
        <w:t>Introduction</w:t>
      </w:r>
    </w:p>
    <w:p w14:paraId="26DA07A6"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5643DE1"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1A69AA8"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880888"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0BC19A8" w14:textId="77777777" w:rsidR="00000000" w:rsidRDefault="00000000">
      <w:pPr>
        <w:spacing w:before="240" w:after="240"/>
        <w:rPr>
          <w:rFonts w:cs="Arial"/>
          <w:lang w:eastAsia="en-NZ"/>
        </w:rPr>
      </w:pPr>
      <w:r>
        <w:rPr>
          <w:rFonts w:cs="Arial"/>
          <w:lang w:eastAsia="en-NZ"/>
        </w:rPr>
        <w:t>The specifics of this audit included:</w:t>
      </w:r>
    </w:p>
    <w:p w14:paraId="1B310A1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5DCA5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002809E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Lansdowne Court</w:t>
      </w:r>
      <w:bookmarkEnd w:id="5"/>
    </w:p>
    <w:p w14:paraId="1B0FBEE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61B664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24 </w:t>
      </w:r>
      <w:r>
        <w:rPr>
          <w:rFonts w:cs="Arial"/>
        </w:rPr>
        <w:t>October 2024</w:t>
      </w:r>
      <w:bookmarkEnd w:id="7"/>
      <w:r w:rsidRPr="009418D4">
        <w:rPr>
          <w:rFonts w:cs="Arial"/>
        </w:rPr>
        <w:tab/>
        <w:t xml:space="preserve">End date: </w:t>
      </w:r>
      <w:bookmarkStart w:id="8" w:name="AuditEndDate"/>
      <w:r>
        <w:rPr>
          <w:rFonts w:cs="Arial"/>
        </w:rPr>
        <w:t>25 October 2024</w:t>
      </w:r>
      <w:bookmarkEnd w:id="8"/>
    </w:p>
    <w:p w14:paraId="2430A40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910F395" w14:textId="77777777" w:rsidR="003B1542"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1A5D9BE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433DC98" w14:textId="77777777" w:rsidR="00000000" w:rsidRDefault="00000000">
      <w:pPr>
        <w:pStyle w:val="Heading1"/>
        <w:rPr>
          <w:rFonts w:cs="Arial"/>
        </w:rPr>
      </w:pPr>
      <w:r>
        <w:rPr>
          <w:rFonts w:cs="Arial"/>
        </w:rPr>
        <w:lastRenderedPageBreak/>
        <w:t>Executive summary of the audit</w:t>
      </w:r>
    </w:p>
    <w:p w14:paraId="24A2729C" w14:textId="77777777" w:rsidR="00000000" w:rsidRDefault="00000000">
      <w:pPr>
        <w:pStyle w:val="Heading2"/>
        <w:rPr>
          <w:rFonts w:cs="Arial"/>
        </w:rPr>
      </w:pPr>
      <w:r>
        <w:rPr>
          <w:rFonts w:cs="Arial"/>
        </w:rPr>
        <w:t>Introduction</w:t>
      </w:r>
    </w:p>
    <w:p w14:paraId="071397C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5B25D40"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B01D50"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6187B0"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19F4E12"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782C7E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3CC290"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00F017"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407A421"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B1542" w14:paraId="69893931" w14:textId="77777777">
        <w:trPr>
          <w:cantSplit/>
          <w:tblHeader/>
        </w:trPr>
        <w:tc>
          <w:tcPr>
            <w:tcW w:w="1260" w:type="dxa"/>
            <w:tcBorders>
              <w:bottom w:val="single" w:sz="4" w:space="0" w:color="000000"/>
            </w:tcBorders>
            <w:vAlign w:val="center"/>
          </w:tcPr>
          <w:p w14:paraId="143076E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4E71DB"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72B4A7" w14:textId="77777777" w:rsidR="00000000" w:rsidRDefault="00000000">
            <w:pPr>
              <w:spacing w:before="60" w:after="60"/>
              <w:rPr>
                <w:rFonts w:eastAsia="Calibri"/>
                <w:b/>
                <w:szCs w:val="24"/>
              </w:rPr>
            </w:pPr>
            <w:r>
              <w:rPr>
                <w:rFonts w:eastAsia="Calibri"/>
                <w:b/>
                <w:szCs w:val="24"/>
              </w:rPr>
              <w:t>Definition</w:t>
            </w:r>
          </w:p>
        </w:tc>
      </w:tr>
      <w:tr w:rsidR="003B1542" w14:paraId="1C56821D" w14:textId="77777777">
        <w:trPr>
          <w:cantSplit/>
          <w:trHeight w:val="964"/>
        </w:trPr>
        <w:tc>
          <w:tcPr>
            <w:tcW w:w="1260" w:type="dxa"/>
            <w:tcBorders>
              <w:bottom w:val="single" w:sz="4" w:space="0" w:color="000000"/>
            </w:tcBorders>
            <w:shd w:val="clear" w:color="0066FF" w:fill="0000FF"/>
            <w:vAlign w:val="center"/>
          </w:tcPr>
          <w:p w14:paraId="5063F46D"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5A4DB75"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83D386"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B1542" w14:paraId="4F92FEB6" w14:textId="77777777">
        <w:trPr>
          <w:cantSplit/>
          <w:trHeight w:val="964"/>
        </w:trPr>
        <w:tc>
          <w:tcPr>
            <w:tcW w:w="1260" w:type="dxa"/>
            <w:shd w:val="clear" w:color="33CC33" w:fill="00FF00"/>
            <w:vAlign w:val="center"/>
          </w:tcPr>
          <w:p w14:paraId="3DCA627C" w14:textId="77777777" w:rsidR="00000000" w:rsidRDefault="00000000">
            <w:pPr>
              <w:spacing w:before="60" w:after="60"/>
              <w:rPr>
                <w:rFonts w:eastAsia="Calibri"/>
                <w:szCs w:val="24"/>
              </w:rPr>
            </w:pPr>
          </w:p>
        </w:tc>
        <w:tc>
          <w:tcPr>
            <w:tcW w:w="7095" w:type="dxa"/>
            <w:shd w:val="clear" w:color="auto" w:fill="auto"/>
            <w:vAlign w:val="center"/>
          </w:tcPr>
          <w:p w14:paraId="1831019F"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17EAAF"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3B1542" w14:paraId="3EE78782" w14:textId="77777777">
        <w:trPr>
          <w:cantSplit/>
          <w:trHeight w:val="964"/>
        </w:trPr>
        <w:tc>
          <w:tcPr>
            <w:tcW w:w="1260" w:type="dxa"/>
            <w:tcBorders>
              <w:bottom w:val="single" w:sz="4" w:space="0" w:color="000000"/>
            </w:tcBorders>
            <w:shd w:val="clear" w:color="auto" w:fill="FFFF00"/>
            <w:vAlign w:val="center"/>
          </w:tcPr>
          <w:p w14:paraId="55425C5D" w14:textId="77777777" w:rsidR="00000000" w:rsidRDefault="00000000">
            <w:pPr>
              <w:spacing w:before="60" w:after="60"/>
              <w:rPr>
                <w:rFonts w:eastAsia="Calibri"/>
                <w:szCs w:val="24"/>
              </w:rPr>
            </w:pPr>
          </w:p>
        </w:tc>
        <w:tc>
          <w:tcPr>
            <w:tcW w:w="7095" w:type="dxa"/>
            <w:shd w:val="clear" w:color="auto" w:fill="auto"/>
            <w:vAlign w:val="center"/>
          </w:tcPr>
          <w:p w14:paraId="6DDE4A3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D2893C"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B1542" w14:paraId="0C2386B8" w14:textId="77777777">
        <w:trPr>
          <w:cantSplit/>
          <w:trHeight w:val="964"/>
        </w:trPr>
        <w:tc>
          <w:tcPr>
            <w:tcW w:w="1260" w:type="dxa"/>
            <w:tcBorders>
              <w:bottom w:val="single" w:sz="4" w:space="0" w:color="000000"/>
            </w:tcBorders>
            <w:shd w:val="clear" w:color="auto" w:fill="FFC800"/>
            <w:vAlign w:val="center"/>
          </w:tcPr>
          <w:p w14:paraId="53464F5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B5F3AB0"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5B499B"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B1542" w14:paraId="4533ABF3" w14:textId="77777777">
        <w:trPr>
          <w:cantSplit/>
          <w:trHeight w:val="964"/>
        </w:trPr>
        <w:tc>
          <w:tcPr>
            <w:tcW w:w="1260" w:type="dxa"/>
            <w:shd w:val="clear" w:color="auto" w:fill="FF0000"/>
            <w:vAlign w:val="center"/>
          </w:tcPr>
          <w:p w14:paraId="49F3F84A" w14:textId="77777777" w:rsidR="00000000" w:rsidRDefault="00000000">
            <w:pPr>
              <w:spacing w:before="60" w:after="60"/>
              <w:rPr>
                <w:rFonts w:eastAsia="Calibri"/>
                <w:szCs w:val="24"/>
              </w:rPr>
            </w:pPr>
          </w:p>
        </w:tc>
        <w:tc>
          <w:tcPr>
            <w:tcW w:w="7095" w:type="dxa"/>
            <w:shd w:val="clear" w:color="auto" w:fill="auto"/>
            <w:vAlign w:val="center"/>
          </w:tcPr>
          <w:p w14:paraId="2F89189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981D776"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A585A33" w14:textId="77777777" w:rsidR="00000000" w:rsidRDefault="00000000">
      <w:pPr>
        <w:pStyle w:val="Heading2"/>
        <w:spacing w:after="0"/>
        <w:rPr>
          <w:rFonts w:cs="Arial"/>
        </w:rPr>
      </w:pPr>
      <w:r>
        <w:rPr>
          <w:rFonts w:cs="Arial"/>
        </w:rPr>
        <w:t>General overview of the audit</w:t>
      </w:r>
    </w:p>
    <w:p w14:paraId="5A8936F5" w14:textId="77777777" w:rsidR="00000000" w:rsidRDefault="00000000">
      <w:pPr>
        <w:spacing w:before="240" w:line="276" w:lineRule="auto"/>
        <w:rPr>
          <w:rFonts w:eastAsia="Calibri"/>
        </w:rPr>
      </w:pPr>
      <w:bookmarkStart w:id="13" w:name="GeneralOverview"/>
      <w:r w:rsidRPr="00A4268A">
        <w:rPr>
          <w:rFonts w:eastAsia="Calibri"/>
        </w:rPr>
        <w:t xml:space="preserve">Ultimate Care Lansdowne Court (Lansdowne court) provides rest home and hospital (including medical) level care. There are a total of 34 beds in the facility. Occupancy on the days of audit was 34 residents. </w:t>
      </w:r>
    </w:p>
    <w:p w14:paraId="5D0E4C70" w14:textId="77777777" w:rsidR="003B1542"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family/whānau, management and staff. </w:t>
      </w:r>
    </w:p>
    <w:p w14:paraId="08975310" w14:textId="77777777" w:rsidR="003B1542" w:rsidRPr="00A4268A" w:rsidRDefault="00000000">
      <w:pPr>
        <w:spacing w:before="240" w:line="276" w:lineRule="auto"/>
        <w:rPr>
          <w:rFonts w:eastAsia="Calibri"/>
        </w:rPr>
      </w:pPr>
      <w:r w:rsidRPr="00A4268A">
        <w:rPr>
          <w:rFonts w:eastAsia="Calibri"/>
        </w:rPr>
        <w:t xml:space="preserve">The nurse manager is experienced and is supported by a lead registered nurse, and a team of experienced staff. </w:t>
      </w:r>
    </w:p>
    <w:p w14:paraId="305A2F48" w14:textId="77777777" w:rsidR="003B1542"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0ED4A5EA" w14:textId="77777777" w:rsidR="003B1542" w:rsidRPr="00A4268A" w:rsidRDefault="00000000">
      <w:pPr>
        <w:spacing w:before="240" w:line="276" w:lineRule="auto"/>
        <w:rPr>
          <w:rFonts w:eastAsia="Calibri"/>
        </w:rPr>
      </w:pPr>
      <w:r w:rsidRPr="00A4268A">
        <w:rPr>
          <w:rFonts w:eastAsia="Calibri"/>
        </w:rPr>
        <w:t>There were no shortfalls identified at this audit.</w:t>
      </w:r>
    </w:p>
    <w:bookmarkEnd w:id="13"/>
    <w:p w14:paraId="0EEDC3CC" w14:textId="77777777" w:rsidR="003B1542" w:rsidRPr="00A4268A" w:rsidRDefault="003B1542">
      <w:pPr>
        <w:spacing w:before="240" w:line="276" w:lineRule="auto"/>
        <w:rPr>
          <w:rFonts w:eastAsia="Calibri"/>
        </w:rPr>
      </w:pPr>
    </w:p>
    <w:p w14:paraId="527D2F04"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3265DEEF" w14:textId="77777777" w:rsidTr="00A4268A">
        <w:trPr>
          <w:cantSplit/>
        </w:trPr>
        <w:tc>
          <w:tcPr>
            <w:tcW w:w="10206" w:type="dxa"/>
            <w:vAlign w:val="center"/>
          </w:tcPr>
          <w:p w14:paraId="2781985A"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1BE7DC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3EB0C68"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B47F3EF"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92638C4" w14:textId="77777777" w:rsidR="00000000"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Lansdowne Court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 The complaints process is responsive, fair, and equitable. It is managed in accordance with the Code of Health and Disability Services Consumers’ Rights, and complainants are kept fully informed.</w:t>
      </w:r>
    </w:p>
    <w:bookmarkEnd w:id="16"/>
    <w:p w14:paraId="1A5C64B0" w14:textId="77777777" w:rsidR="003B1542" w:rsidRPr="00A4268A" w:rsidRDefault="003B1542">
      <w:pPr>
        <w:spacing w:before="240" w:line="276" w:lineRule="auto"/>
        <w:rPr>
          <w:rFonts w:eastAsia="Calibri"/>
        </w:rPr>
      </w:pPr>
    </w:p>
    <w:p w14:paraId="658F713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33919794" w14:textId="77777777" w:rsidTr="00A4268A">
        <w:trPr>
          <w:cantSplit/>
        </w:trPr>
        <w:tc>
          <w:tcPr>
            <w:tcW w:w="10206" w:type="dxa"/>
            <w:vAlign w:val="center"/>
          </w:tcPr>
          <w:p w14:paraId="4AF7AE3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AE430C8"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301B3C"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370C6E1" w14:textId="77777777" w:rsidR="00000000" w:rsidRDefault="00000000">
      <w:pPr>
        <w:spacing w:before="240" w:line="276" w:lineRule="auto"/>
        <w:rPr>
          <w:rFonts w:eastAsia="Calibri"/>
        </w:rPr>
      </w:pPr>
      <w:bookmarkStart w:id="19" w:name="OrganisationalManagement"/>
      <w:r w:rsidRPr="00A4268A">
        <w:rPr>
          <w:rFonts w:eastAsia="Calibri"/>
        </w:rPr>
        <w:t xml:space="preserve">There is an implemented and well-established and robust governance structure, including clinical governance that is appropriate to the size and complexity of the service provided. The business plan includes a mission statement and operational objectives which are regularly reviewed. Barriers to health equity are identified, addressed, and services delivered that improve outcomes for Māori. 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 Human </w:t>
      </w:r>
      <w:r w:rsidRPr="00A4268A">
        <w:rPr>
          <w:rFonts w:eastAsia="Calibri"/>
        </w:rPr>
        <w:lastRenderedPageBreak/>
        <w:t>resources are managed in accordance with good employment practice. An orientation programme and staff training plan are in place to support staff in delivering safe quality care.</w:t>
      </w:r>
    </w:p>
    <w:bookmarkEnd w:id="19"/>
    <w:p w14:paraId="488A95D5" w14:textId="77777777" w:rsidR="003B1542" w:rsidRPr="00A4268A" w:rsidRDefault="003B1542">
      <w:pPr>
        <w:spacing w:before="240" w:line="276" w:lineRule="auto"/>
        <w:rPr>
          <w:rFonts w:eastAsia="Calibri"/>
        </w:rPr>
      </w:pPr>
    </w:p>
    <w:p w14:paraId="07A2DC08"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0480603D" w14:textId="77777777" w:rsidTr="00A4268A">
        <w:trPr>
          <w:cantSplit/>
        </w:trPr>
        <w:tc>
          <w:tcPr>
            <w:tcW w:w="10206" w:type="dxa"/>
            <w:vAlign w:val="center"/>
          </w:tcPr>
          <w:p w14:paraId="0DDFD59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F1265B6"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D4DF1E"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BF8AB92"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general practitioner and visiting allied health professionals. </w:t>
      </w:r>
    </w:p>
    <w:p w14:paraId="1DDAEEB6" w14:textId="77777777" w:rsidR="003B1542"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73047A74" w14:textId="77777777" w:rsidR="003B1542"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0DDAB924" w14:textId="77777777" w:rsidR="003B1542" w:rsidRPr="00A4268A" w:rsidRDefault="00000000"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1AFD5D71" w14:textId="77777777" w:rsidR="003B1542" w:rsidRPr="00A4268A" w:rsidRDefault="003B1542" w:rsidP="00621629">
      <w:pPr>
        <w:spacing w:before="240" w:line="276" w:lineRule="auto"/>
        <w:rPr>
          <w:rFonts w:eastAsia="Calibri"/>
        </w:rPr>
      </w:pPr>
    </w:p>
    <w:p w14:paraId="04F676D8"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180471A2" w14:textId="77777777" w:rsidTr="00A4268A">
        <w:trPr>
          <w:cantSplit/>
        </w:trPr>
        <w:tc>
          <w:tcPr>
            <w:tcW w:w="10206" w:type="dxa"/>
            <w:vAlign w:val="center"/>
          </w:tcPr>
          <w:p w14:paraId="7E39F82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F31A5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471BD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D881BDB" w14:textId="77777777" w:rsidR="00000000" w:rsidRDefault="00000000">
      <w:pPr>
        <w:spacing w:before="240" w:line="276" w:lineRule="auto"/>
        <w:rPr>
          <w:rFonts w:eastAsia="Calibri"/>
        </w:rPr>
      </w:pPr>
      <w:bookmarkStart w:id="25" w:name="SafeAndAppropriateEnvironment"/>
      <w:r w:rsidRPr="00A4268A">
        <w:rPr>
          <w:rFonts w:eastAsia="Calibri"/>
        </w:rPr>
        <w:lastRenderedPageBreak/>
        <w:t xml:space="preserve">The building holds a current building warrant of fitness. Electrical equipment has been tested and tagged. All medical equipment has been serviced and calibrated. </w:t>
      </w:r>
    </w:p>
    <w:bookmarkEnd w:id="25"/>
    <w:p w14:paraId="69A18FC0" w14:textId="77777777" w:rsidR="003B1542" w:rsidRPr="00A4268A" w:rsidRDefault="003B1542">
      <w:pPr>
        <w:spacing w:before="240" w:line="276" w:lineRule="auto"/>
        <w:rPr>
          <w:rFonts w:eastAsia="Calibri"/>
        </w:rPr>
      </w:pPr>
    </w:p>
    <w:p w14:paraId="7614A7DE"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4B767D8D" w14:textId="77777777" w:rsidTr="00A4268A">
        <w:trPr>
          <w:cantSplit/>
        </w:trPr>
        <w:tc>
          <w:tcPr>
            <w:tcW w:w="10206" w:type="dxa"/>
            <w:vAlign w:val="center"/>
          </w:tcPr>
          <w:p w14:paraId="1178D7C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3FB9987"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63DC9E0"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BBB68A3"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national clinical governance level. Infection control education is provided to staff at the start of their employment, and as part of the annual education plan.</w:t>
      </w:r>
    </w:p>
    <w:p w14:paraId="7FA9E398" w14:textId="77777777" w:rsidR="003B1542"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has been one outbreak recorded and reported on since the last audit. </w:t>
      </w:r>
    </w:p>
    <w:bookmarkEnd w:id="28"/>
    <w:p w14:paraId="338D28C5" w14:textId="77777777" w:rsidR="003B1542" w:rsidRPr="00A4268A" w:rsidRDefault="003B1542">
      <w:pPr>
        <w:spacing w:before="240" w:line="276" w:lineRule="auto"/>
        <w:rPr>
          <w:rFonts w:eastAsia="Calibri"/>
        </w:rPr>
      </w:pPr>
    </w:p>
    <w:p w14:paraId="4961CC6E"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B1542" w14:paraId="7C2E35C3" w14:textId="77777777" w:rsidTr="00A4268A">
        <w:trPr>
          <w:cantSplit/>
        </w:trPr>
        <w:tc>
          <w:tcPr>
            <w:tcW w:w="10206" w:type="dxa"/>
            <w:vAlign w:val="center"/>
          </w:tcPr>
          <w:p w14:paraId="47EC810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71E1CE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94737A3"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3D179F8" w14:textId="77777777" w:rsidR="00000000" w:rsidRDefault="00000000">
      <w:pPr>
        <w:spacing w:before="240" w:line="276" w:lineRule="auto"/>
        <w:rPr>
          <w:rFonts w:eastAsia="Calibri"/>
        </w:rPr>
      </w:pPr>
      <w:bookmarkStart w:id="31" w:name="InfectionPreventionAndControl"/>
      <w:r w:rsidRPr="00A4268A">
        <w:rPr>
          <w:rFonts w:eastAsia="Calibri"/>
        </w:rPr>
        <w:lastRenderedPageBreak/>
        <w:t xml:space="preserve">The restraint coordinator role is held by the nurse manager. 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 </w:t>
      </w:r>
    </w:p>
    <w:bookmarkEnd w:id="31"/>
    <w:p w14:paraId="6640E9F2" w14:textId="77777777" w:rsidR="003B1542" w:rsidRPr="00A4268A" w:rsidRDefault="003B1542">
      <w:pPr>
        <w:spacing w:before="240" w:line="276" w:lineRule="auto"/>
        <w:rPr>
          <w:rFonts w:eastAsia="Calibri"/>
        </w:rPr>
      </w:pPr>
    </w:p>
    <w:p w14:paraId="635BD45C" w14:textId="77777777" w:rsidR="00000000" w:rsidRDefault="00000000" w:rsidP="000E6E02">
      <w:pPr>
        <w:pStyle w:val="Heading2"/>
        <w:spacing w:before="0"/>
        <w:rPr>
          <w:rFonts w:cs="Arial"/>
        </w:rPr>
      </w:pPr>
      <w:r>
        <w:rPr>
          <w:rFonts w:cs="Arial"/>
        </w:rPr>
        <w:t>Summary of attainment</w:t>
      </w:r>
    </w:p>
    <w:p w14:paraId="54EEB96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B1542" w14:paraId="4B431427" w14:textId="77777777">
        <w:tc>
          <w:tcPr>
            <w:tcW w:w="1384" w:type="dxa"/>
            <w:vAlign w:val="center"/>
          </w:tcPr>
          <w:p w14:paraId="654B27B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F3F7106" w14:textId="77777777" w:rsidR="00000000" w:rsidRDefault="00000000">
            <w:pPr>
              <w:keepNext/>
              <w:spacing w:before="60" w:after="60"/>
              <w:jc w:val="center"/>
              <w:rPr>
                <w:rFonts w:cs="Arial"/>
                <w:b/>
                <w:sz w:val="20"/>
                <w:szCs w:val="20"/>
              </w:rPr>
            </w:pPr>
            <w:r>
              <w:rPr>
                <w:rFonts w:cs="Arial"/>
                <w:b/>
                <w:sz w:val="20"/>
                <w:szCs w:val="20"/>
              </w:rPr>
              <w:t>Continuous Improvement</w:t>
            </w:r>
          </w:p>
          <w:p w14:paraId="0FDFA8FB"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26268B2" w14:textId="77777777" w:rsidR="00000000" w:rsidRDefault="00000000">
            <w:pPr>
              <w:keepNext/>
              <w:spacing w:before="60" w:after="60"/>
              <w:jc w:val="center"/>
              <w:rPr>
                <w:rFonts w:cs="Arial"/>
                <w:b/>
                <w:sz w:val="20"/>
                <w:szCs w:val="20"/>
              </w:rPr>
            </w:pPr>
            <w:r>
              <w:rPr>
                <w:rFonts w:cs="Arial"/>
                <w:b/>
                <w:sz w:val="20"/>
                <w:szCs w:val="20"/>
              </w:rPr>
              <w:t>Fully Attained</w:t>
            </w:r>
          </w:p>
          <w:p w14:paraId="6457416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274732C"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8730A4B"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05EB8A4"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CDE2A71"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20F1A1B"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86932A3"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6C84CDE"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D39AD3A"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8B755F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3C6A0B5F" w14:textId="77777777" w:rsidR="00000000" w:rsidRDefault="00000000">
            <w:pPr>
              <w:keepNext/>
              <w:spacing w:before="60" w:after="60"/>
              <w:jc w:val="center"/>
              <w:rPr>
                <w:rFonts w:cs="Arial"/>
                <w:b/>
                <w:sz w:val="20"/>
                <w:szCs w:val="20"/>
              </w:rPr>
            </w:pPr>
            <w:r>
              <w:rPr>
                <w:rFonts w:cs="Arial"/>
                <w:b/>
                <w:sz w:val="20"/>
                <w:szCs w:val="20"/>
              </w:rPr>
              <w:t>(PA Critical)</w:t>
            </w:r>
          </w:p>
        </w:tc>
      </w:tr>
      <w:tr w:rsidR="003B1542" w14:paraId="03C70A6D" w14:textId="77777777">
        <w:tc>
          <w:tcPr>
            <w:tcW w:w="1384" w:type="dxa"/>
            <w:vAlign w:val="center"/>
          </w:tcPr>
          <w:p w14:paraId="6768F16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003244A"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393F31D"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DE27D45"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4ECA2D3"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52F3BB7"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012A4C3"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647990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B1542" w14:paraId="6E0C8B15" w14:textId="77777777">
        <w:tc>
          <w:tcPr>
            <w:tcW w:w="1384" w:type="dxa"/>
            <w:vAlign w:val="center"/>
          </w:tcPr>
          <w:p w14:paraId="05E79965"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0F4681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4A479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BA97B1E"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FE5132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21B9BAC"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3008A7"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5C8A91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40A4C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B1542" w14:paraId="4AED9F61" w14:textId="77777777">
        <w:tc>
          <w:tcPr>
            <w:tcW w:w="1384" w:type="dxa"/>
            <w:vAlign w:val="center"/>
          </w:tcPr>
          <w:p w14:paraId="34FD715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9F18F09"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3093F3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4CAC6AB" w14:textId="77777777" w:rsidR="00000000" w:rsidRDefault="00000000">
            <w:pPr>
              <w:keepNext/>
              <w:spacing w:before="60" w:after="60"/>
              <w:jc w:val="center"/>
              <w:rPr>
                <w:rFonts w:cs="Arial"/>
                <w:b/>
                <w:sz w:val="20"/>
                <w:szCs w:val="20"/>
              </w:rPr>
            </w:pPr>
            <w:r>
              <w:rPr>
                <w:rFonts w:cs="Arial"/>
                <w:b/>
                <w:sz w:val="20"/>
                <w:szCs w:val="20"/>
              </w:rPr>
              <w:t>Unattained Low Risk</w:t>
            </w:r>
          </w:p>
          <w:p w14:paraId="023475F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19EA1DB" w14:textId="77777777" w:rsidR="00000000" w:rsidRDefault="00000000">
            <w:pPr>
              <w:keepNext/>
              <w:spacing w:before="60" w:after="60"/>
              <w:jc w:val="center"/>
              <w:rPr>
                <w:rFonts w:cs="Arial"/>
                <w:b/>
                <w:sz w:val="20"/>
                <w:szCs w:val="20"/>
              </w:rPr>
            </w:pPr>
            <w:r>
              <w:rPr>
                <w:rFonts w:cs="Arial"/>
                <w:b/>
                <w:sz w:val="20"/>
                <w:szCs w:val="20"/>
              </w:rPr>
              <w:t>Unattained Moderate Risk</w:t>
            </w:r>
          </w:p>
          <w:p w14:paraId="2DB4249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2EC2053" w14:textId="77777777" w:rsidR="00000000" w:rsidRDefault="00000000">
            <w:pPr>
              <w:keepNext/>
              <w:spacing w:before="60" w:after="60"/>
              <w:jc w:val="center"/>
              <w:rPr>
                <w:rFonts w:cs="Arial"/>
                <w:b/>
                <w:sz w:val="20"/>
                <w:szCs w:val="20"/>
              </w:rPr>
            </w:pPr>
            <w:r>
              <w:rPr>
                <w:rFonts w:cs="Arial"/>
                <w:b/>
                <w:sz w:val="20"/>
                <w:szCs w:val="20"/>
              </w:rPr>
              <w:t>Unattained High Risk</w:t>
            </w:r>
          </w:p>
          <w:p w14:paraId="67A0F2D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490B7C3" w14:textId="77777777" w:rsidR="00000000" w:rsidRDefault="00000000">
            <w:pPr>
              <w:keepNext/>
              <w:spacing w:before="60" w:after="60"/>
              <w:jc w:val="center"/>
              <w:rPr>
                <w:rFonts w:cs="Arial"/>
                <w:b/>
                <w:sz w:val="20"/>
                <w:szCs w:val="20"/>
              </w:rPr>
            </w:pPr>
            <w:r>
              <w:rPr>
                <w:rFonts w:cs="Arial"/>
                <w:b/>
                <w:sz w:val="20"/>
                <w:szCs w:val="20"/>
              </w:rPr>
              <w:t>Unattained Critical Risk</w:t>
            </w:r>
          </w:p>
          <w:p w14:paraId="5EE67A45" w14:textId="77777777" w:rsidR="00000000" w:rsidRDefault="00000000">
            <w:pPr>
              <w:keepNext/>
              <w:spacing w:before="60" w:after="60"/>
              <w:jc w:val="center"/>
              <w:rPr>
                <w:rFonts w:cs="Arial"/>
                <w:b/>
                <w:sz w:val="20"/>
                <w:szCs w:val="20"/>
              </w:rPr>
            </w:pPr>
            <w:r>
              <w:rPr>
                <w:rFonts w:cs="Arial"/>
                <w:b/>
                <w:sz w:val="20"/>
                <w:szCs w:val="20"/>
              </w:rPr>
              <w:t>(UA Critical)</w:t>
            </w:r>
          </w:p>
        </w:tc>
      </w:tr>
      <w:tr w:rsidR="003B1542" w14:paraId="52163137" w14:textId="77777777">
        <w:tc>
          <w:tcPr>
            <w:tcW w:w="1384" w:type="dxa"/>
            <w:vAlign w:val="center"/>
          </w:tcPr>
          <w:p w14:paraId="19081ED0"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792CB7B"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95173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3A73653"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DBD63D"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CB68B99"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B1542" w14:paraId="5FE23248" w14:textId="77777777">
        <w:tc>
          <w:tcPr>
            <w:tcW w:w="1384" w:type="dxa"/>
            <w:vAlign w:val="center"/>
          </w:tcPr>
          <w:p w14:paraId="386AFF02"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BC5C0CC"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82407A"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F07796"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328ABA8"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A4E10A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AFDCE9"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CBA879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AEFDD5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F0AD1E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1374"/>
        <w:gridCol w:w="6749"/>
      </w:tblGrid>
      <w:tr w:rsidR="003B1542" w14:paraId="1AE9804D" w14:textId="77777777">
        <w:tc>
          <w:tcPr>
            <w:tcW w:w="0" w:type="auto"/>
          </w:tcPr>
          <w:p w14:paraId="2D247F6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37D05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401EC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B1542" w14:paraId="33B397CC" w14:textId="77777777">
        <w:tc>
          <w:tcPr>
            <w:tcW w:w="0" w:type="auto"/>
          </w:tcPr>
          <w:p w14:paraId="0AEBD2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402F198"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FFB1601" w14:textId="77777777" w:rsidR="00000000" w:rsidRPr="00BE00C7" w:rsidRDefault="00000000" w:rsidP="00BE00C7">
            <w:pPr>
              <w:pStyle w:val="OutcomeDescription"/>
              <w:spacing w:before="120" w:after="120"/>
              <w:rPr>
                <w:rFonts w:cs="Arial"/>
                <w:lang w:eastAsia="en-NZ"/>
              </w:rPr>
            </w:pPr>
          </w:p>
        </w:tc>
        <w:tc>
          <w:tcPr>
            <w:tcW w:w="0" w:type="auto"/>
          </w:tcPr>
          <w:p w14:paraId="6E8810A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F302B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includes guidelines for the provision of care in line with cultural safety and the Treaty of Waitangi expectations. The Māori health plan references cultural awareness and cultural responsiveness to Māori perspective of health. The service recognises Māori mana motuhake and this is reflected in the Māori health plan.</w:t>
            </w:r>
          </w:p>
          <w:p w14:paraId="29BD48CF" w14:textId="77777777" w:rsidR="00000000" w:rsidRPr="00BE00C7" w:rsidRDefault="00000000" w:rsidP="00BE00C7">
            <w:pPr>
              <w:pStyle w:val="OutcomeDescription"/>
              <w:spacing w:before="120" w:after="120"/>
              <w:rPr>
                <w:rFonts w:cs="Arial"/>
                <w:lang w:eastAsia="en-NZ"/>
              </w:rPr>
            </w:pPr>
            <w:r w:rsidRPr="00BE00C7">
              <w:rPr>
                <w:rFonts w:cs="Arial"/>
                <w:lang w:eastAsia="en-NZ"/>
              </w:rPr>
              <w:t>During the audit, there were both residents and staff who identify as Māori at the facility.</w:t>
            </w:r>
          </w:p>
          <w:p w14:paraId="5D9EE492" w14:textId="77777777" w:rsidR="00000000" w:rsidRPr="00BE00C7" w:rsidRDefault="00000000" w:rsidP="00BE00C7">
            <w:pPr>
              <w:pStyle w:val="OutcomeDescription"/>
              <w:spacing w:before="120" w:after="120"/>
              <w:rPr>
                <w:rFonts w:cs="Arial"/>
                <w:lang w:eastAsia="en-NZ"/>
              </w:rPr>
            </w:pPr>
          </w:p>
        </w:tc>
      </w:tr>
      <w:tr w:rsidR="003B1542" w14:paraId="3B188AA5" w14:textId="77777777">
        <w:tc>
          <w:tcPr>
            <w:tcW w:w="0" w:type="auto"/>
          </w:tcPr>
          <w:p w14:paraId="0BD3300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FE611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83B161F" w14:textId="77777777" w:rsidR="00000000" w:rsidRPr="00BE00C7" w:rsidRDefault="00000000" w:rsidP="00BE00C7">
            <w:pPr>
              <w:pStyle w:val="OutcomeDescription"/>
              <w:spacing w:before="120" w:after="120"/>
              <w:rPr>
                <w:rFonts w:cs="Arial"/>
                <w:lang w:eastAsia="en-NZ"/>
              </w:rPr>
            </w:pPr>
          </w:p>
        </w:tc>
        <w:tc>
          <w:tcPr>
            <w:tcW w:w="0" w:type="auto"/>
          </w:tcPr>
          <w:p w14:paraId="0DCC984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FB91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organisation’s Pacific Health Plan includes information on Pacific Health and refers to the Ministry of Health Pacific Island and Ministry of Pacific Ola Manuia Pacific Health and Wellbeing Action Plan 2020-2025. At the time of the audit there were Pacific staff but no residents. Pacific staff stated that resident’s cultural needs are embraced. </w:t>
            </w:r>
          </w:p>
          <w:p w14:paraId="5A02DE57" w14:textId="77777777" w:rsidR="00000000" w:rsidRPr="00BE00C7" w:rsidRDefault="00000000" w:rsidP="00BE00C7">
            <w:pPr>
              <w:pStyle w:val="OutcomeDescription"/>
              <w:spacing w:before="120" w:after="120"/>
              <w:rPr>
                <w:rFonts w:cs="Arial"/>
                <w:lang w:eastAsia="en-NZ"/>
              </w:rPr>
            </w:pPr>
          </w:p>
        </w:tc>
      </w:tr>
      <w:tr w:rsidR="003B1542" w14:paraId="5F9EDA91" w14:textId="77777777">
        <w:tc>
          <w:tcPr>
            <w:tcW w:w="0" w:type="auto"/>
          </w:tcPr>
          <w:p w14:paraId="378BAA0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4063FA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EC3FE11" w14:textId="77777777" w:rsidR="00000000" w:rsidRPr="00BE00C7" w:rsidRDefault="00000000" w:rsidP="00BE00C7">
            <w:pPr>
              <w:pStyle w:val="OutcomeDescription"/>
              <w:spacing w:before="120" w:after="120"/>
              <w:rPr>
                <w:rFonts w:cs="Arial"/>
                <w:lang w:eastAsia="en-NZ"/>
              </w:rPr>
            </w:pPr>
          </w:p>
        </w:tc>
        <w:tc>
          <w:tcPr>
            <w:tcW w:w="0" w:type="auto"/>
          </w:tcPr>
          <w:p w14:paraId="3FF6D8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E31A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The nurse manager interviewed demonstrated how it is also given in welcome packs in the language most appropriate for the resident to ensure they are fully informed of their rights. Interviews with two family/whānau (one hospital, and one rest home level), and three residents (two hospital level and one rest home level) confirmed they are informed of their rights and their choices are respected.</w:t>
            </w:r>
          </w:p>
          <w:p w14:paraId="526DF6B8" w14:textId="77777777" w:rsidR="00000000" w:rsidRPr="00BE00C7" w:rsidRDefault="00000000" w:rsidP="00BE00C7">
            <w:pPr>
              <w:pStyle w:val="OutcomeDescription"/>
              <w:spacing w:before="120" w:after="120"/>
              <w:rPr>
                <w:rFonts w:cs="Arial"/>
                <w:lang w:eastAsia="en-NZ"/>
              </w:rPr>
            </w:pPr>
          </w:p>
        </w:tc>
      </w:tr>
      <w:tr w:rsidR="003B1542" w14:paraId="29177488" w14:textId="77777777">
        <w:tc>
          <w:tcPr>
            <w:tcW w:w="0" w:type="auto"/>
          </w:tcPr>
          <w:p w14:paraId="6C33D1D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B0594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00F5414" w14:textId="77777777" w:rsidR="00000000" w:rsidRPr="00BE00C7" w:rsidRDefault="00000000" w:rsidP="00BE00C7">
            <w:pPr>
              <w:pStyle w:val="OutcomeDescription"/>
              <w:spacing w:before="120" w:after="120"/>
              <w:rPr>
                <w:rFonts w:cs="Arial"/>
                <w:lang w:eastAsia="en-NZ"/>
              </w:rPr>
            </w:pPr>
          </w:p>
        </w:tc>
        <w:tc>
          <w:tcPr>
            <w:tcW w:w="0" w:type="auto"/>
          </w:tcPr>
          <w:p w14:paraId="27196AA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1DEF13" w14:textId="77777777" w:rsidR="00000000" w:rsidRPr="00BE00C7" w:rsidRDefault="00000000" w:rsidP="00BE00C7">
            <w:pPr>
              <w:pStyle w:val="OutcomeDescription"/>
              <w:spacing w:before="120" w:after="120"/>
              <w:rPr>
                <w:rFonts w:cs="Arial"/>
                <w:lang w:eastAsia="en-NZ"/>
              </w:rPr>
            </w:pPr>
            <w:r w:rsidRPr="00BE00C7">
              <w:rPr>
                <w:rFonts w:cs="Arial"/>
                <w:lang w:eastAsia="en-NZ"/>
              </w:rPr>
              <w:t>Guidelines for professional boundaries, the employment handbook, house rules and code of conduct describe procedures to protect people from abuse, discrimination, and neglect. Staff are provided orientation and ongoing training on these policies and procedures. Professional boundaries are defined in job descriptions. The house rules reflect appropriate measures to ensure resident’s finance and property is respected at all times. There are processes in place to manage resident’s funds.</w:t>
            </w:r>
          </w:p>
          <w:p w14:paraId="386974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staff (three caregivers, one registered nurse (RN), one housekeeper, one head chef, and one maintenance person) and management (nurse manager and one support in head office) demonstrated an understanding of professional boundaries when interviewed. </w:t>
            </w:r>
          </w:p>
          <w:p w14:paraId="409ED9D4" w14:textId="77777777" w:rsidR="00000000" w:rsidRPr="00BE00C7" w:rsidRDefault="00000000" w:rsidP="00BE00C7">
            <w:pPr>
              <w:pStyle w:val="OutcomeDescription"/>
              <w:spacing w:before="120" w:after="120"/>
              <w:rPr>
                <w:rFonts w:cs="Arial"/>
                <w:lang w:eastAsia="en-NZ"/>
              </w:rPr>
            </w:pPr>
          </w:p>
        </w:tc>
      </w:tr>
      <w:tr w:rsidR="003B1542" w14:paraId="01BFA0F4" w14:textId="77777777">
        <w:tc>
          <w:tcPr>
            <w:tcW w:w="0" w:type="auto"/>
          </w:tcPr>
          <w:p w14:paraId="03DE491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1A5EBD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55568B4" w14:textId="77777777" w:rsidR="00000000" w:rsidRPr="00BE00C7" w:rsidRDefault="00000000" w:rsidP="00BE00C7">
            <w:pPr>
              <w:pStyle w:val="OutcomeDescription"/>
              <w:spacing w:before="120" w:after="120"/>
              <w:rPr>
                <w:rFonts w:cs="Arial"/>
                <w:lang w:eastAsia="en-NZ"/>
              </w:rPr>
            </w:pPr>
          </w:p>
        </w:tc>
        <w:tc>
          <w:tcPr>
            <w:tcW w:w="0" w:type="auto"/>
          </w:tcPr>
          <w:p w14:paraId="489E93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9970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as needed. </w:t>
            </w:r>
          </w:p>
          <w:p w14:paraId="4778D63C" w14:textId="77777777" w:rsidR="00000000" w:rsidRPr="00BE00C7" w:rsidRDefault="00000000" w:rsidP="00BE00C7">
            <w:pPr>
              <w:pStyle w:val="OutcomeDescription"/>
              <w:spacing w:before="120" w:after="120"/>
              <w:rPr>
                <w:rFonts w:cs="Arial"/>
                <w:lang w:eastAsia="en-NZ"/>
              </w:rPr>
            </w:pPr>
          </w:p>
        </w:tc>
      </w:tr>
      <w:tr w:rsidR="003B1542" w14:paraId="03ED0FD8" w14:textId="77777777">
        <w:tc>
          <w:tcPr>
            <w:tcW w:w="0" w:type="auto"/>
          </w:tcPr>
          <w:p w14:paraId="2F8E6C5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5DFD6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72EE567" w14:textId="77777777" w:rsidR="00000000" w:rsidRPr="00BE00C7" w:rsidRDefault="00000000" w:rsidP="00BE00C7">
            <w:pPr>
              <w:pStyle w:val="OutcomeDescription"/>
              <w:spacing w:before="120" w:after="120"/>
              <w:rPr>
                <w:rFonts w:cs="Arial"/>
                <w:lang w:eastAsia="en-NZ"/>
              </w:rPr>
            </w:pPr>
          </w:p>
        </w:tc>
        <w:tc>
          <w:tcPr>
            <w:tcW w:w="0" w:type="auto"/>
          </w:tcPr>
          <w:p w14:paraId="5D238EC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29A4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The Code of Health and Disability Services Consumers’ Rights and complaints process is visible, and available in te reo Māori, and English. An electronic complaints register is being maintained which includes all complaints, dates and actions taken. The have been two complaints made since the previous audit. Documentation including follow-up letters and resolution, demonstrates that complaints are being managed in accordance with guidelines set by the Health and Disability Commissioner. There have been no external complaints made.</w:t>
            </w:r>
          </w:p>
          <w:p w14:paraId="30907A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family/whānau confirmed they are provided with information on complaints and complaints forms are available at the entrance to the facility. Residents have a variety of avenues they can choose from to make a complaint or express a concern. Resident meetings are held. The nurse manager stated that they address concerns as they arise and has an open-door policy to ensure concerns are addressed in person with whānau involvement. </w:t>
            </w:r>
          </w:p>
          <w:p w14:paraId="31BC705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making a complaint can involve an independent support person in the process if they choose.</w:t>
            </w:r>
          </w:p>
          <w:p w14:paraId="252E7FE4" w14:textId="77777777" w:rsidR="00000000" w:rsidRPr="00BE00C7" w:rsidRDefault="00000000" w:rsidP="00BE00C7">
            <w:pPr>
              <w:pStyle w:val="OutcomeDescription"/>
              <w:spacing w:before="120" w:after="120"/>
              <w:rPr>
                <w:rFonts w:cs="Arial"/>
                <w:lang w:eastAsia="en-NZ"/>
              </w:rPr>
            </w:pPr>
          </w:p>
        </w:tc>
      </w:tr>
      <w:tr w:rsidR="003B1542" w14:paraId="4A036718" w14:textId="77777777">
        <w:tc>
          <w:tcPr>
            <w:tcW w:w="0" w:type="auto"/>
          </w:tcPr>
          <w:p w14:paraId="388585E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56F67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4DF1F976" w14:textId="77777777" w:rsidR="00000000" w:rsidRPr="00BE00C7" w:rsidRDefault="00000000" w:rsidP="00BE00C7">
            <w:pPr>
              <w:pStyle w:val="OutcomeDescription"/>
              <w:spacing w:before="120" w:after="120"/>
              <w:rPr>
                <w:rFonts w:cs="Arial"/>
                <w:lang w:eastAsia="en-NZ"/>
              </w:rPr>
            </w:pPr>
          </w:p>
        </w:tc>
        <w:tc>
          <w:tcPr>
            <w:tcW w:w="0" w:type="auto"/>
          </w:tcPr>
          <w:p w14:paraId="56FBF7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43E5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Ultimate Care Lansdowne Court (Lansdowne court) provides rest home and hospital (including medical) level care. There are a total of 34 beds in the facility. Occupancy on the days of audit was 34 residents. This included 16 residents requiring rest home level (including one resident on a long-term support-chronic health conditions (LTS-CHC) contract and one resident funded through ACC. There were 18 residents requiring hospital level of care, including one resident on a LTS-CHC contract. All remaining residents were under the age-related care (ARRC) contract. </w:t>
            </w:r>
          </w:p>
          <w:p w14:paraId="16D3FA9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nurse manager is supported by a lead registered nurse, an administrator and a team of RNs and caregivers. The governance and leadership structure, including clinical governance, is appropriate to the size and complexity of the organisation.</w:t>
            </w:r>
          </w:p>
          <w:p w14:paraId="5D4206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plan and the quality and risk plan, as well as policies and procedures, demonstrate various ways that meaningful inclusion of Māori and honouring Te Tiriti occurs in all aspects of service delivery. The organisation’s mission, vision and values are documented. Business and quality objectives include resident related objectives, such as the reduction of falls, reduce medication incidents, and overall reduction of adverse events. Staff wellness related objectives, such as staff retention and staff education are documented, as well as shareholder management and financial objectives. Service monitoring and review of organisational performance occurs monthly through service level reporting.</w:t>
            </w:r>
          </w:p>
          <w:p w14:paraId="48F839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leadership team demonstrates a commitment to quality and risk management, ensuring there are no barriers, and that service delivery is fair and equitable for Māori. A key aspect of Ultimate Care Group (UCG’s) clinical governance is the identification and mitigation of risks to resident safety and wellbeing. This involves regular risk assessments, incident reporting mechanisms, and quality assurance processes to monitor and address any issues that may arise. All information is entered online on a monthly basis to the head office and monthly reflective reports are generated for each service. Reports include falls, wounds, pressure injuries infection, weight loss, and medication errors (as examples). The reports are presented at various meetings at the service and at governance level.</w:t>
            </w:r>
          </w:p>
          <w:p w14:paraId="75D5C1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(an RN), has been in the role since 2020, she is supported by an experienced lead RN, as well as a supportive national team. The nurse manager confirmed knowledge of the sector, regulatory and reporting requirements and maintains currency within the field. </w:t>
            </w:r>
          </w:p>
          <w:p w14:paraId="2478D155" w14:textId="77777777" w:rsidR="00000000" w:rsidRPr="00BE00C7" w:rsidRDefault="00000000" w:rsidP="00BE00C7">
            <w:pPr>
              <w:pStyle w:val="OutcomeDescription"/>
              <w:spacing w:before="120" w:after="120"/>
              <w:rPr>
                <w:rFonts w:cs="Arial"/>
                <w:lang w:eastAsia="en-NZ"/>
              </w:rPr>
            </w:pPr>
          </w:p>
        </w:tc>
      </w:tr>
      <w:tr w:rsidR="003B1542" w14:paraId="56854913" w14:textId="77777777">
        <w:tc>
          <w:tcPr>
            <w:tcW w:w="0" w:type="auto"/>
          </w:tcPr>
          <w:p w14:paraId="7F96EC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C0BCE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BEEE0D0" w14:textId="77777777" w:rsidR="00000000" w:rsidRPr="00BE00C7" w:rsidRDefault="00000000" w:rsidP="00BE00C7">
            <w:pPr>
              <w:pStyle w:val="OutcomeDescription"/>
              <w:spacing w:before="120" w:after="120"/>
              <w:rPr>
                <w:rFonts w:cs="Arial"/>
                <w:lang w:eastAsia="en-NZ"/>
              </w:rPr>
            </w:pPr>
          </w:p>
        </w:tc>
        <w:tc>
          <w:tcPr>
            <w:tcW w:w="0" w:type="auto"/>
          </w:tcPr>
          <w:p w14:paraId="263360D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1699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Lansdowne Court is implementing a quality and risk management programme. Monthly staff meetings, monthly registered nurse meetings and national clinical service meetings ensure quality and risk outcomes are reviewed. Meetings provide an avenue for discussions in relation to (but </w:t>
            </w:r>
            <w:r w:rsidRPr="00BE00C7">
              <w:rPr>
                <w:rFonts w:cs="Arial"/>
                <w:lang w:eastAsia="en-NZ"/>
              </w:rPr>
              <w:lastRenderedPageBreak/>
              <w:t xml:space="preserve">not limited to) quality data; health and safety; infection control/pandemic strategies; complaints; staffing; education; and internal audits. </w:t>
            </w:r>
          </w:p>
          <w:p w14:paraId="2A1DFA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Meetings and collation of data were documented as taking place, with corrective actions documented where indicated to address service improvements, with evidence of progress and sign off when achieved. Quality, health and safety goals, and progress towards attainment are discussed at staff and RN meetings. </w:t>
            </w:r>
          </w:p>
          <w:p w14:paraId="5B1C92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RN meetings undertake an in-depth review of all clinical issues, changes to resident care, training, new residents and corrective action plans in progress (as examples). Three-monthly infection control and health and safety meetings are also undertaken for an in-depth review of infection control and health and safety. Three-monthly restraint meetings are also in place (the service is restraint free).</w:t>
            </w:r>
          </w:p>
          <w:p w14:paraId="722337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most recent 2024 resident and family/whānau satisfaction surveys had been correlated and analysed and indicate that residents have reported high levels of satisfaction in most areas of the service provided. Results have been communicated to residents in the resident and family/whānau newsletter (October 2024) and village meetings. </w:t>
            </w:r>
          </w:p>
          <w:p w14:paraId="4C0C88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and an up-to-date hazard and risk register was reviewed (sighted). Staff are kept informed on health and safety issues in handovers, meetings and via additional training as needed. </w:t>
            </w:r>
          </w:p>
          <w:p w14:paraId="17CCD5F6"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Electronic entries are completed for each incident/accident, and immediate action is documented with any follow-up action(s) required, evidenced in the accident/incident records reviewed. Incident and accident data is collated monthly and analysed. Results are discussed in the RN and staff meetings and at handover. Each event involving a resident reflected a clinical assessment and a timely follow up by an RN.</w:t>
            </w:r>
          </w:p>
          <w:p w14:paraId="2838F36B"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nurse manager evidenced awareness of the requirement to notify relevant authorities in relation to essential notifications. There has been one Section 31 notification completed for a pressure injury (December 2023). No notifications have been required to be sent to Te Tahu Hauora Health Quality and Safety Commission.</w:t>
            </w:r>
          </w:p>
          <w:p w14:paraId="2BDF1A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one outbreak documented for Covid-19, which was </w:t>
            </w:r>
            <w:r w:rsidRPr="00BE00C7">
              <w:rPr>
                <w:rFonts w:cs="Arial"/>
                <w:lang w:eastAsia="en-NZ"/>
              </w:rPr>
              <w:lastRenderedPageBreak/>
              <w:t>appropriately notified.</w:t>
            </w:r>
          </w:p>
          <w:p w14:paraId="2905972C" w14:textId="77777777" w:rsidR="00000000" w:rsidRPr="00BE00C7" w:rsidRDefault="00000000" w:rsidP="00BE00C7">
            <w:pPr>
              <w:pStyle w:val="OutcomeDescription"/>
              <w:spacing w:before="120" w:after="120"/>
              <w:rPr>
                <w:rFonts w:cs="Arial"/>
                <w:lang w:eastAsia="en-NZ"/>
              </w:rPr>
            </w:pPr>
          </w:p>
        </w:tc>
      </w:tr>
      <w:tr w:rsidR="003B1542" w14:paraId="01D8673D" w14:textId="77777777">
        <w:tc>
          <w:tcPr>
            <w:tcW w:w="0" w:type="auto"/>
          </w:tcPr>
          <w:p w14:paraId="525152C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E1F7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BCDE995" w14:textId="77777777" w:rsidR="00000000" w:rsidRPr="00BE00C7" w:rsidRDefault="00000000" w:rsidP="00BE00C7">
            <w:pPr>
              <w:pStyle w:val="OutcomeDescription"/>
              <w:spacing w:before="120" w:after="120"/>
              <w:rPr>
                <w:rFonts w:cs="Arial"/>
                <w:lang w:eastAsia="en-NZ"/>
              </w:rPr>
            </w:pPr>
          </w:p>
        </w:tc>
        <w:tc>
          <w:tcPr>
            <w:tcW w:w="0" w:type="auto"/>
          </w:tcPr>
          <w:p w14:paraId="6586DB8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9FF7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 provides sufficient and appropriate coverage for the effective delivery of care and support. Registered nurses are rostered 24/7. Staff and residents are informed when there are changes to staffing levels, evidenced in staff interviews. The nurse manager and lead RN are available Monday to Friday. On-call cover is provided by the senior RN team.</w:t>
            </w:r>
          </w:p>
          <w:p w14:paraId="70D471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completed for 2023 and is being implemented for 2024. The education and training schedule lists compulsory training and is available through online training and face to face training. Training records document high attendance by staff. External training opportunities for care staff include training through Health New Zealand and hospice.</w:t>
            </w:r>
          </w:p>
          <w:p w14:paraId="2104D190"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are encouraged to attain Careerforce training NZQA levels. Fifty percent of caregivers have attained level three or higher, 70% overall have completed level two or higher.</w:t>
            </w:r>
          </w:p>
          <w:p w14:paraId="50E846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are not limited to) hand hygiene, moving and handling, and correct use of personal protective equipment. Additional RN specific competencies include subcutaneous fluids, syringe driver, and interRAI assessment competency. There are nine RNs and eight are interRAI trained. Registered nurses are supported to maintain their professional competency. </w:t>
            </w:r>
          </w:p>
          <w:p w14:paraId="79EFDC03" w14:textId="77777777" w:rsidR="00000000" w:rsidRPr="00BE00C7" w:rsidRDefault="00000000" w:rsidP="00BE00C7">
            <w:pPr>
              <w:pStyle w:val="OutcomeDescription"/>
              <w:spacing w:before="120" w:after="120"/>
              <w:rPr>
                <w:rFonts w:cs="Arial"/>
                <w:lang w:eastAsia="en-NZ"/>
              </w:rPr>
            </w:pPr>
          </w:p>
        </w:tc>
      </w:tr>
      <w:tr w:rsidR="003B1542" w14:paraId="11C20A5E" w14:textId="77777777">
        <w:tc>
          <w:tcPr>
            <w:tcW w:w="0" w:type="auto"/>
          </w:tcPr>
          <w:p w14:paraId="65FD444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403176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448A6674" w14:textId="77777777" w:rsidR="00000000" w:rsidRPr="00BE00C7" w:rsidRDefault="00000000" w:rsidP="00BE00C7">
            <w:pPr>
              <w:pStyle w:val="OutcomeDescription"/>
              <w:spacing w:before="120" w:after="120"/>
              <w:rPr>
                <w:rFonts w:cs="Arial"/>
                <w:lang w:eastAsia="en-NZ"/>
              </w:rPr>
            </w:pPr>
          </w:p>
        </w:tc>
        <w:tc>
          <w:tcPr>
            <w:tcW w:w="0" w:type="auto"/>
          </w:tcPr>
          <w:p w14:paraId="0C893D8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0AC9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0DA48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w:t>
            </w:r>
            <w:r w:rsidRPr="00BE00C7">
              <w:rPr>
                <w:rFonts w:cs="Arial"/>
                <w:lang w:eastAsia="en-NZ"/>
              </w:rPr>
              <w:lastRenderedPageBreak/>
              <w:t>includes buddying when first employed. Competencies are completed at orientation. The service demonstrates that the orientation programme supports RNs and caregivers to provide a culturally safe environment for Māori. All staff who have been employed for a year or more, have a current performance appraisal on file.</w:t>
            </w:r>
          </w:p>
          <w:p w14:paraId="710CC3D7" w14:textId="77777777" w:rsidR="00000000" w:rsidRPr="00BE00C7" w:rsidRDefault="00000000" w:rsidP="00BE00C7">
            <w:pPr>
              <w:pStyle w:val="OutcomeDescription"/>
              <w:spacing w:before="120" w:after="120"/>
              <w:rPr>
                <w:rFonts w:cs="Arial"/>
                <w:lang w:eastAsia="en-NZ"/>
              </w:rPr>
            </w:pPr>
          </w:p>
        </w:tc>
      </w:tr>
      <w:tr w:rsidR="003B1542" w14:paraId="0BFC4195" w14:textId="77777777">
        <w:tc>
          <w:tcPr>
            <w:tcW w:w="0" w:type="auto"/>
          </w:tcPr>
          <w:p w14:paraId="5C1463F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4C77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1A3FCA7" w14:textId="77777777" w:rsidR="00000000" w:rsidRPr="00BE00C7" w:rsidRDefault="00000000" w:rsidP="00BE00C7">
            <w:pPr>
              <w:pStyle w:val="OutcomeDescription"/>
              <w:spacing w:before="120" w:after="120"/>
              <w:rPr>
                <w:rFonts w:cs="Arial"/>
                <w:lang w:eastAsia="en-NZ"/>
              </w:rPr>
            </w:pPr>
          </w:p>
        </w:tc>
        <w:tc>
          <w:tcPr>
            <w:tcW w:w="0" w:type="auto"/>
          </w:tcPr>
          <w:p w14:paraId="7B2061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37BCB0"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were reviewed: three hospital residents (including one resident on a LTS-CHC contract) files and two rest home level residents, including one resident on ACC.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(including residents on contracts) had an interRAI assessment, in addition to a full suite of assessments completed on the electronic resident management system, which incorporate skin integrity, pressure injury risk, dietary requirements, communication needs, emotional, psychological, and behavioural support needs.</w:t>
            </w:r>
          </w:p>
          <w:p w14:paraId="094E6F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meet the residents’ assessed needs and are sufficiently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2121DA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and wounds.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w:t>
            </w:r>
            <w:r w:rsidRPr="00BE00C7">
              <w:rPr>
                <w:rFonts w:cs="Arial"/>
                <w:lang w:eastAsia="en-NZ"/>
              </w:rPr>
              <w:lastRenderedPageBreak/>
              <w:t>RN and include the degree of achievement towards meeting desired goals and outcomes. Residents interviewed confirmed assessments are completed according to their needs and in the privacy of their bedrooms.</w:t>
            </w:r>
          </w:p>
          <w:p w14:paraId="2ADAE5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family/whanau involvement in care planning and documented ongoing communication of health status updates. Family/whanau interviews and resident records evidenced that family/whānau are informed where there is a change in health status. The service has policies and procedures in place to support all residents to access services and information. </w:t>
            </w:r>
          </w:p>
          <w:p w14:paraId="2A9A34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weekly and as required. The GP practice also provides on call for the facility out of hours. Medical documentation and records reviewed were current. The GP was not available for interview during the audit. A physiotherapist visits the facility weekly and on request to review residents referred by the registered nurses. There is access to a continence specialist as required. A podiatrist visits regularly. The dietitian, speech language therapist, hospice, wound care nurse specialist and medical specialists are available as required through Health New Zealand.</w:t>
            </w:r>
          </w:p>
          <w:p w14:paraId="78EB40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17 active new wounds (15 residents with minor wounds, such as small skin tears). There were also 15 long-term chronic wounds and no pressure injuries. </w:t>
            </w:r>
          </w:p>
          <w:p w14:paraId="741D1B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Staff interviews confirmed they are familiar with the needs of all residents in the facility and that they have access to the </w:t>
            </w:r>
            <w:r w:rsidRPr="00BE00C7">
              <w:rPr>
                <w:rFonts w:cs="Arial"/>
                <w:lang w:eastAsia="en-NZ"/>
              </w:rPr>
              <w:lastRenderedPageBreak/>
              <w:t xml:space="preserve">supplies and products they require to meet those needs. Staff receive handover at the beginning of their shift. </w:t>
            </w:r>
          </w:p>
          <w:p w14:paraId="05E0612A" w14:textId="77777777" w:rsidR="00000000" w:rsidRPr="00BE00C7" w:rsidRDefault="00000000" w:rsidP="00417642">
            <w:pPr>
              <w:pStyle w:val="OutcomeDescription"/>
              <w:spacing w:before="120" w:after="120"/>
              <w:rPr>
                <w:rFonts w:cs="Arial"/>
                <w:lang w:eastAsia="en-NZ"/>
              </w:rPr>
            </w:pPr>
          </w:p>
        </w:tc>
      </w:tr>
      <w:tr w:rsidR="003B1542" w14:paraId="6BDCF058" w14:textId="77777777">
        <w:tc>
          <w:tcPr>
            <w:tcW w:w="0" w:type="auto"/>
          </w:tcPr>
          <w:p w14:paraId="676CA2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DB182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DF9B617" w14:textId="77777777" w:rsidR="00000000" w:rsidRPr="00BE00C7" w:rsidRDefault="00000000" w:rsidP="00BE00C7">
            <w:pPr>
              <w:pStyle w:val="OutcomeDescription"/>
              <w:spacing w:before="120" w:after="120"/>
              <w:rPr>
                <w:rFonts w:cs="Arial"/>
                <w:lang w:eastAsia="en-NZ"/>
              </w:rPr>
            </w:pPr>
          </w:p>
        </w:tc>
        <w:tc>
          <w:tcPr>
            <w:tcW w:w="0" w:type="auto"/>
          </w:tcPr>
          <w:p w14:paraId="5FCB55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ADB4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20FC29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an electronic medication management system (Medimap), and pre-packaged medication sachets. All medications are checked on delivery against the medication chart and any discrepancies are fed back to the supplying pharmacy. </w:t>
            </w:r>
          </w:p>
          <w:p w14:paraId="04D6C7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and have a six-monthly pharmacy check. Eyedrops are dated on opening. </w:t>
            </w:r>
          </w:p>
          <w:p w14:paraId="3EBCF9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Indications for use were noted for pro re nata (PRN) medications. The effectiveness of PRN medications was consistently documented in the electronic medication management system and progress notes. There were no residents self-administering medications; however, policy and procedures facilitate assessment for competence, and safe storage should this be required. No standing orders are used. </w:t>
            </w:r>
          </w:p>
          <w:p w14:paraId="72CB6C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01105D6E" w14:textId="77777777" w:rsidR="00000000" w:rsidRPr="00BE00C7" w:rsidRDefault="00000000" w:rsidP="00BE00C7">
            <w:pPr>
              <w:pStyle w:val="OutcomeDescription"/>
              <w:spacing w:before="120" w:after="120"/>
              <w:rPr>
                <w:rFonts w:cs="Arial"/>
                <w:lang w:eastAsia="en-NZ"/>
              </w:rPr>
            </w:pPr>
          </w:p>
        </w:tc>
      </w:tr>
      <w:tr w:rsidR="003B1542" w14:paraId="67DC287B" w14:textId="77777777">
        <w:tc>
          <w:tcPr>
            <w:tcW w:w="0" w:type="auto"/>
          </w:tcPr>
          <w:p w14:paraId="15FD405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F99AC2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56E6BF9" w14:textId="77777777" w:rsidR="00000000" w:rsidRPr="00BE00C7" w:rsidRDefault="00000000" w:rsidP="00BE00C7">
            <w:pPr>
              <w:pStyle w:val="OutcomeDescription"/>
              <w:spacing w:before="120" w:after="120"/>
              <w:rPr>
                <w:rFonts w:cs="Arial"/>
                <w:lang w:eastAsia="en-NZ"/>
              </w:rPr>
            </w:pPr>
          </w:p>
        </w:tc>
        <w:tc>
          <w:tcPr>
            <w:tcW w:w="0" w:type="auto"/>
          </w:tcPr>
          <w:p w14:paraId="6831097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443A06"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head chef interviewed reported they accommodate residents’ requests.</w:t>
            </w:r>
          </w:p>
          <w:p w14:paraId="2072C9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expiring January 2026. The residents and family/whānau interviewed were complimentary regarding the standard of food provided. </w:t>
            </w:r>
          </w:p>
          <w:p w14:paraId="6EA26A7D" w14:textId="77777777" w:rsidR="00000000" w:rsidRPr="00BE00C7" w:rsidRDefault="00000000" w:rsidP="00BE00C7">
            <w:pPr>
              <w:pStyle w:val="OutcomeDescription"/>
              <w:spacing w:before="120" w:after="120"/>
              <w:rPr>
                <w:rFonts w:cs="Arial"/>
                <w:lang w:eastAsia="en-NZ"/>
              </w:rPr>
            </w:pPr>
          </w:p>
        </w:tc>
      </w:tr>
      <w:tr w:rsidR="003B1542" w14:paraId="1557D1FF" w14:textId="77777777">
        <w:tc>
          <w:tcPr>
            <w:tcW w:w="0" w:type="auto"/>
          </w:tcPr>
          <w:p w14:paraId="0409E6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AD310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E3A2860" w14:textId="77777777" w:rsidR="00000000" w:rsidRPr="00BE00C7" w:rsidRDefault="00000000" w:rsidP="00BE00C7">
            <w:pPr>
              <w:pStyle w:val="OutcomeDescription"/>
              <w:spacing w:before="120" w:after="120"/>
              <w:rPr>
                <w:rFonts w:cs="Arial"/>
                <w:lang w:eastAsia="en-NZ"/>
              </w:rPr>
            </w:pPr>
          </w:p>
        </w:tc>
        <w:tc>
          <w:tcPr>
            <w:tcW w:w="0" w:type="auto"/>
          </w:tcPr>
          <w:p w14:paraId="782BD90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316F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14803401" w14:textId="77777777" w:rsidR="00000000" w:rsidRPr="00BE00C7" w:rsidRDefault="00000000" w:rsidP="00BE00C7">
            <w:pPr>
              <w:pStyle w:val="OutcomeDescription"/>
              <w:spacing w:before="120" w:after="120"/>
              <w:rPr>
                <w:rFonts w:cs="Arial"/>
                <w:lang w:eastAsia="en-NZ"/>
              </w:rPr>
            </w:pPr>
          </w:p>
        </w:tc>
      </w:tr>
      <w:tr w:rsidR="003B1542" w14:paraId="67B0CD5B" w14:textId="77777777">
        <w:tc>
          <w:tcPr>
            <w:tcW w:w="0" w:type="auto"/>
          </w:tcPr>
          <w:p w14:paraId="651FEFF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5469A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0992F58" w14:textId="77777777" w:rsidR="00000000" w:rsidRPr="00BE00C7" w:rsidRDefault="00000000" w:rsidP="00BE00C7">
            <w:pPr>
              <w:pStyle w:val="OutcomeDescription"/>
              <w:spacing w:before="120" w:after="120"/>
              <w:rPr>
                <w:rFonts w:cs="Arial"/>
                <w:lang w:eastAsia="en-NZ"/>
              </w:rPr>
            </w:pPr>
          </w:p>
        </w:tc>
        <w:tc>
          <w:tcPr>
            <w:tcW w:w="0" w:type="auto"/>
          </w:tcPr>
          <w:p w14:paraId="1FBA1A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96E6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and comply with legislation relevant to the health and disability services being provided. The environment is inclusive of people’s cultures and supports cultural practices. The current building warrant of fitness expires 3 April 2025. </w:t>
            </w:r>
          </w:p>
          <w:p w14:paraId="55242BCA" w14:textId="77777777" w:rsidR="00000000" w:rsidRPr="00BE00C7" w:rsidRDefault="00000000" w:rsidP="00BE00C7">
            <w:pPr>
              <w:pStyle w:val="OutcomeDescription"/>
              <w:spacing w:before="120" w:after="120"/>
              <w:rPr>
                <w:rFonts w:cs="Arial"/>
                <w:lang w:eastAsia="en-NZ"/>
              </w:rPr>
            </w:pPr>
          </w:p>
        </w:tc>
      </w:tr>
      <w:tr w:rsidR="003B1542" w14:paraId="6EE61AB4" w14:textId="77777777">
        <w:tc>
          <w:tcPr>
            <w:tcW w:w="0" w:type="auto"/>
          </w:tcPr>
          <w:p w14:paraId="04C3084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9208A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06FC3AD" w14:textId="77777777" w:rsidR="00000000" w:rsidRPr="00BE00C7" w:rsidRDefault="00000000" w:rsidP="00BE00C7">
            <w:pPr>
              <w:pStyle w:val="OutcomeDescription"/>
              <w:spacing w:before="120" w:after="120"/>
              <w:rPr>
                <w:rFonts w:cs="Arial"/>
                <w:lang w:eastAsia="en-NZ"/>
              </w:rPr>
            </w:pPr>
          </w:p>
        </w:tc>
        <w:tc>
          <w:tcPr>
            <w:tcW w:w="0" w:type="auto"/>
          </w:tcPr>
          <w:p w14:paraId="5AB27AC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1CB6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has been developed by the clinical team at head office. The infection prevention and antimicrobial programme is reviewed annually and is linked to the quality and business plan. The UCG clinical operations team involve staff at site level in the review of policies and procedures. The infection control nurse has input when policies and procedures are reviewed. </w:t>
            </w:r>
          </w:p>
          <w:p w14:paraId="44A096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includes (but is not limited to): standard precautions; isolation procedures; hand washing competencies; donning and doffing personal protective equipment (PPE); monitoring of antimicrobial medication; infection control and cultural safety aseptic technique, and transmission-based precautions.</w:t>
            </w:r>
          </w:p>
          <w:p w14:paraId="5FB99DC3" w14:textId="77777777" w:rsidR="00000000" w:rsidRPr="00BE00C7" w:rsidRDefault="00000000" w:rsidP="00BE00C7">
            <w:pPr>
              <w:pStyle w:val="OutcomeDescription"/>
              <w:spacing w:before="120" w:after="120"/>
              <w:rPr>
                <w:rFonts w:cs="Arial"/>
                <w:lang w:eastAsia="en-NZ"/>
              </w:rPr>
            </w:pPr>
          </w:p>
        </w:tc>
      </w:tr>
      <w:tr w:rsidR="003B1542" w14:paraId="2084E56C" w14:textId="77777777">
        <w:tc>
          <w:tcPr>
            <w:tcW w:w="0" w:type="auto"/>
          </w:tcPr>
          <w:p w14:paraId="0C9B559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E2E5D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3D8833C" w14:textId="77777777" w:rsidR="00000000" w:rsidRPr="00BE00C7" w:rsidRDefault="00000000" w:rsidP="00BE00C7">
            <w:pPr>
              <w:pStyle w:val="OutcomeDescription"/>
              <w:spacing w:before="120" w:after="120"/>
              <w:rPr>
                <w:rFonts w:cs="Arial"/>
                <w:lang w:eastAsia="en-NZ"/>
              </w:rPr>
            </w:pPr>
          </w:p>
        </w:tc>
        <w:tc>
          <w:tcPr>
            <w:tcW w:w="0" w:type="auto"/>
          </w:tcPr>
          <w:p w14:paraId="742F63D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1647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This data is monitored and analysed for trends, monthly and annually. The service incorporates ethnicity data into surveillance methods and data captured around infections. Infection control surveillance is discussed at clinical, quality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Zealand. </w:t>
            </w:r>
          </w:p>
          <w:p w14:paraId="46C231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There has been one outbreak documented since the previous audit year to date. This was well documented and managed according to policy. The staff interviewed were knowledgeable around isolation and outbreak procedures. Residents and family/whānau were kept well informed during </w:t>
            </w:r>
            <w:r w:rsidRPr="00BE00C7">
              <w:rPr>
                <w:rFonts w:cs="Arial"/>
                <w:lang w:eastAsia="en-NZ"/>
              </w:rPr>
              <w:lastRenderedPageBreak/>
              <w:t xml:space="preserve">the outbreak. </w:t>
            </w:r>
          </w:p>
          <w:p w14:paraId="22FB5F54" w14:textId="77777777" w:rsidR="00000000" w:rsidRPr="00BE00C7" w:rsidRDefault="00000000" w:rsidP="00BE00C7">
            <w:pPr>
              <w:pStyle w:val="OutcomeDescription"/>
              <w:spacing w:before="120" w:after="120"/>
              <w:rPr>
                <w:rFonts w:cs="Arial"/>
                <w:lang w:eastAsia="en-NZ"/>
              </w:rPr>
            </w:pPr>
          </w:p>
        </w:tc>
      </w:tr>
      <w:tr w:rsidR="003B1542" w14:paraId="2DFD9FAF" w14:textId="77777777">
        <w:tc>
          <w:tcPr>
            <w:tcW w:w="0" w:type="auto"/>
          </w:tcPr>
          <w:p w14:paraId="256213C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E9DDE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973CEAA" w14:textId="77777777" w:rsidR="00000000" w:rsidRPr="00BE00C7" w:rsidRDefault="00000000" w:rsidP="00BE00C7">
            <w:pPr>
              <w:pStyle w:val="OutcomeDescription"/>
              <w:spacing w:before="120" w:after="120"/>
              <w:rPr>
                <w:rFonts w:cs="Arial"/>
                <w:lang w:eastAsia="en-NZ"/>
              </w:rPr>
            </w:pPr>
          </w:p>
        </w:tc>
        <w:tc>
          <w:tcPr>
            <w:tcW w:w="0" w:type="auto"/>
          </w:tcPr>
          <w:p w14:paraId="7ACC1E5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B577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Restraint policy confirms that restraint consideration and application must be done in partnership with families/ whānau, and the choice of device must be the least restrictive possible. The restraint coordinator interviewed described the focus on maintaining a restraint-free environment. At all times when restraint is considered, the facility works in partnership with Māori, to promote and ensure services are mana enhancing. </w:t>
            </w:r>
          </w:p>
          <w:p w14:paraId="63BC1F67"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no residents utilising restraint. There are detailed assessments, an approval process, and monitoring requirements available should these be required.</w:t>
            </w:r>
          </w:p>
          <w:p w14:paraId="430D952C"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7B20A241" w14:textId="77777777" w:rsidR="00000000" w:rsidRPr="00BE00C7" w:rsidRDefault="00000000" w:rsidP="00BE00C7">
            <w:pPr>
              <w:pStyle w:val="OutcomeDescription"/>
              <w:spacing w:before="120" w:after="120"/>
              <w:rPr>
                <w:rFonts w:cs="Arial"/>
                <w:lang w:eastAsia="en-NZ"/>
              </w:rPr>
            </w:pPr>
          </w:p>
        </w:tc>
      </w:tr>
    </w:tbl>
    <w:p w14:paraId="75E3D104"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FD67B7E" w14:textId="77777777" w:rsidR="00000000" w:rsidRDefault="00000000">
      <w:pPr>
        <w:pStyle w:val="Heading1"/>
        <w:rPr>
          <w:rFonts w:cs="Arial"/>
        </w:rPr>
      </w:pPr>
      <w:r>
        <w:rPr>
          <w:rFonts w:cs="Arial"/>
        </w:rPr>
        <w:lastRenderedPageBreak/>
        <w:t>Specific results for criterion where corrective actions are required</w:t>
      </w:r>
    </w:p>
    <w:p w14:paraId="224C6020"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7106CD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C2B427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B1542" w14:paraId="19C6BC38" w14:textId="77777777">
        <w:tc>
          <w:tcPr>
            <w:tcW w:w="0" w:type="auto"/>
          </w:tcPr>
          <w:p w14:paraId="22A11C4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82F5D7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C20EBF4" w14:textId="77777777" w:rsidR="00000000" w:rsidRDefault="00000000">
      <w:pPr>
        <w:pStyle w:val="Heading1"/>
        <w:rPr>
          <w:rFonts w:cs="Arial"/>
        </w:rPr>
      </w:pPr>
      <w:r>
        <w:rPr>
          <w:rFonts w:cs="Arial"/>
        </w:rPr>
        <w:lastRenderedPageBreak/>
        <w:t>Specific results for criterion where a continuous improvement has been recorded</w:t>
      </w:r>
    </w:p>
    <w:p w14:paraId="2608CE2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AD87D56"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E4D32A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B1542" w14:paraId="466571FE" w14:textId="77777777">
        <w:tc>
          <w:tcPr>
            <w:tcW w:w="0" w:type="auto"/>
          </w:tcPr>
          <w:p w14:paraId="129DAF9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CD30413"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06502ED6"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F3CB" w14:textId="77777777" w:rsidR="009F026E" w:rsidRDefault="009F026E">
      <w:r>
        <w:separator/>
      </w:r>
    </w:p>
  </w:endnote>
  <w:endnote w:type="continuationSeparator" w:id="0">
    <w:p w14:paraId="1B4DC6BE" w14:textId="77777777" w:rsidR="009F026E" w:rsidRDefault="009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C9A" w14:textId="77777777" w:rsidR="00000000" w:rsidRDefault="00000000">
    <w:pPr>
      <w:pStyle w:val="Footer"/>
    </w:pPr>
  </w:p>
  <w:p w14:paraId="16EAB167" w14:textId="77777777" w:rsidR="00000000" w:rsidRDefault="00000000"/>
  <w:p w14:paraId="44A46B66"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A73C"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Lansdowne Court</w:t>
    </w:r>
    <w:bookmarkEnd w:id="59"/>
    <w:r>
      <w:rPr>
        <w:rFonts w:cs="Arial"/>
        <w:sz w:val="16"/>
        <w:szCs w:val="20"/>
      </w:rPr>
      <w:tab/>
      <w:t xml:space="preserve">Date of Audit: </w:t>
    </w:r>
    <w:bookmarkStart w:id="60" w:name="AuditStartDate1"/>
    <w:r>
      <w:rPr>
        <w:rFonts w:cs="Arial"/>
        <w:sz w:val="16"/>
        <w:szCs w:val="20"/>
      </w:rPr>
      <w:t>24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AA86F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62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8816" w14:textId="77777777" w:rsidR="009F026E" w:rsidRDefault="009F026E">
      <w:r>
        <w:separator/>
      </w:r>
    </w:p>
  </w:footnote>
  <w:footnote w:type="continuationSeparator" w:id="0">
    <w:p w14:paraId="5F0803BE" w14:textId="77777777" w:rsidR="009F026E" w:rsidRDefault="009F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52CC" w14:textId="77777777" w:rsidR="00000000" w:rsidRDefault="00000000">
    <w:pPr>
      <w:pStyle w:val="Header"/>
    </w:pPr>
  </w:p>
  <w:p w14:paraId="64C3156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D696" w14:textId="77777777" w:rsidR="00000000" w:rsidRDefault="00000000">
    <w:pPr>
      <w:pStyle w:val="Header"/>
    </w:pPr>
  </w:p>
  <w:p w14:paraId="15C3F59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738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5BCC7C4">
      <w:start w:val="1"/>
      <w:numFmt w:val="decimal"/>
      <w:lvlText w:val="%1."/>
      <w:lvlJc w:val="left"/>
      <w:pPr>
        <w:ind w:left="360" w:hanging="360"/>
      </w:pPr>
    </w:lvl>
    <w:lvl w:ilvl="1" w:tplc="29A292E6" w:tentative="1">
      <w:start w:val="1"/>
      <w:numFmt w:val="lowerLetter"/>
      <w:lvlText w:val="%2."/>
      <w:lvlJc w:val="left"/>
      <w:pPr>
        <w:ind w:left="1080" w:hanging="360"/>
      </w:pPr>
    </w:lvl>
    <w:lvl w:ilvl="2" w:tplc="F6888C14" w:tentative="1">
      <w:start w:val="1"/>
      <w:numFmt w:val="lowerRoman"/>
      <w:lvlText w:val="%3."/>
      <w:lvlJc w:val="right"/>
      <w:pPr>
        <w:ind w:left="1800" w:hanging="180"/>
      </w:pPr>
    </w:lvl>
    <w:lvl w:ilvl="3" w:tplc="4468DE62" w:tentative="1">
      <w:start w:val="1"/>
      <w:numFmt w:val="decimal"/>
      <w:lvlText w:val="%4."/>
      <w:lvlJc w:val="left"/>
      <w:pPr>
        <w:ind w:left="2520" w:hanging="360"/>
      </w:pPr>
    </w:lvl>
    <w:lvl w:ilvl="4" w:tplc="0358C2A8" w:tentative="1">
      <w:start w:val="1"/>
      <w:numFmt w:val="lowerLetter"/>
      <w:lvlText w:val="%5."/>
      <w:lvlJc w:val="left"/>
      <w:pPr>
        <w:ind w:left="3240" w:hanging="360"/>
      </w:pPr>
    </w:lvl>
    <w:lvl w:ilvl="5" w:tplc="2298994A" w:tentative="1">
      <w:start w:val="1"/>
      <w:numFmt w:val="lowerRoman"/>
      <w:lvlText w:val="%6."/>
      <w:lvlJc w:val="right"/>
      <w:pPr>
        <w:ind w:left="3960" w:hanging="180"/>
      </w:pPr>
    </w:lvl>
    <w:lvl w:ilvl="6" w:tplc="435C8F82" w:tentative="1">
      <w:start w:val="1"/>
      <w:numFmt w:val="decimal"/>
      <w:lvlText w:val="%7."/>
      <w:lvlJc w:val="left"/>
      <w:pPr>
        <w:ind w:left="4680" w:hanging="360"/>
      </w:pPr>
    </w:lvl>
    <w:lvl w:ilvl="7" w:tplc="062ACC4A" w:tentative="1">
      <w:start w:val="1"/>
      <w:numFmt w:val="lowerLetter"/>
      <w:lvlText w:val="%8."/>
      <w:lvlJc w:val="left"/>
      <w:pPr>
        <w:ind w:left="5400" w:hanging="360"/>
      </w:pPr>
    </w:lvl>
    <w:lvl w:ilvl="8" w:tplc="A81820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B61C3E">
      <w:start w:val="1"/>
      <w:numFmt w:val="bullet"/>
      <w:lvlText w:val=""/>
      <w:lvlJc w:val="left"/>
      <w:pPr>
        <w:ind w:left="720" w:hanging="360"/>
      </w:pPr>
      <w:rPr>
        <w:rFonts w:ascii="Symbol" w:hAnsi="Symbol" w:hint="default"/>
      </w:rPr>
    </w:lvl>
    <w:lvl w:ilvl="1" w:tplc="FC4238AE" w:tentative="1">
      <w:start w:val="1"/>
      <w:numFmt w:val="bullet"/>
      <w:lvlText w:val="o"/>
      <w:lvlJc w:val="left"/>
      <w:pPr>
        <w:ind w:left="1440" w:hanging="360"/>
      </w:pPr>
      <w:rPr>
        <w:rFonts w:ascii="Courier New" w:hAnsi="Courier New" w:cs="Courier New" w:hint="default"/>
      </w:rPr>
    </w:lvl>
    <w:lvl w:ilvl="2" w:tplc="D0D8AA2E" w:tentative="1">
      <w:start w:val="1"/>
      <w:numFmt w:val="bullet"/>
      <w:lvlText w:val=""/>
      <w:lvlJc w:val="left"/>
      <w:pPr>
        <w:ind w:left="2160" w:hanging="360"/>
      </w:pPr>
      <w:rPr>
        <w:rFonts w:ascii="Wingdings" w:hAnsi="Wingdings" w:hint="default"/>
      </w:rPr>
    </w:lvl>
    <w:lvl w:ilvl="3" w:tplc="5B8679A8" w:tentative="1">
      <w:start w:val="1"/>
      <w:numFmt w:val="bullet"/>
      <w:lvlText w:val=""/>
      <w:lvlJc w:val="left"/>
      <w:pPr>
        <w:ind w:left="2880" w:hanging="360"/>
      </w:pPr>
      <w:rPr>
        <w:rFonts w:ascii="Symbol" w:hAnsi="Symbol" w:hint="default"/>
      </w:rPr>
    </w:lvl>
    <w:lvl w:ilvl="4" w:tplc="8FF639F2" w:tentative="1">
      <w:start w:val="1"/>
      <w:numFmt w:val="bullet"/>
      <w:lvlText w:val="o"/>
      <w:lvlJc w:val="left"/>
      <w:pPr>
        <w:ind w:left="3600" w:hanging="360"/>
      </w:pPr>
      <w:rPr>
        <w:rFonts w:ascii="Courier New" w:hAnsi="Courier New" w:cs="Courier New" w:hint="default"/>
      </w:rPr>
    </w:lvl>
    <w:lvl w:ilvl="5" w:tplc="7B226C1A" w:tentative="1">
      <w:start w:val="1"/>
      <w:numFmt w:val="bullet"/>
      <w:lvlText w:val=""/>
      <w:lvlJc w:val="left"/>
      <w:pPr>
        <w:ind w:left="4320" w:hanging="360"/>
      </w:pPr>
      <w:rPr>
        <w:rFonts w:ascii="Wingdings" w:hAnsi="Wingdings" w:hint="default"/>
      </w:rPr>
    </w:lvl>
    <w:lvl w:ilvl="6" w:tplc="A45C05B2" w:tentative="1">
      <w:start w:val="1"/>
      <w:numFmt w:val="bullet"/>
      <w:lvlText w:val=""/>
      <w:lvlJc w:val="left"/>
      <w:pPr>
        <w:ind w:left="5040" w:hanging="360"/>
      </w:pPr>
      <w:rPr>
        <w:rFonts w:ascii="Symbol" w:hAnsi="Symbol" w:hint="default"/>
      </w:rPr>
    </w:lvl>
    <w:lvl w:ilvl="7" w:tplc="B84013EE" w:tentative="1">
      <w:start w:val="1"/>
      <w:numFmt w:val="bullet"/>
      <w:lvlText w:val="o"/>
      <w:lvlJc w:val="left"/>
      <w:pPr>
        <w:ind w:left="5760" w:hanging="360"/>
      </w:pPr>
      <w:rPr>
        <w:rFonts w:ascii="Courier New" w:hAnsi="Courier New" w:cs="Courier New" w:hint="default"/>
      </w:rPr>
    </w:lvl>
    <w:lvl w:ilvl="8" w:tplc="D3609262" w:tentative="1">
      <w:start w:val="1"/>
      <w:numFmt w:val="bullet"/>
      <w:lvlText w:val=""/>
      <w:lvlJc w:val="left"/>
      <w:pPr>
        <w:ind w:left="6480" w:hanging="360"/>
      </w:pPr>
      <w:rPr>
        <w:rFonts w:ascii="Wingdings" w:hAnsi="Wingdings" w:hint="default"/>
      </w:rPr>
    </w:lvl>
  </w:abstractNum>
  <w:num w:numId="1" w16cid:durableId="690499591">
    <w:abstractNumId w:val="1"/>
  </w:num>
  <w:num w:numId="2" w16cid:durableId="41891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2"/>
    <w:rsid w:val="003B1542"/>
    <w:rsid w:val="00417642"/>
    <w:rsid w:val="009F02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8536"/>
  <w15:docId w15:val="{2CE40484-FDA3-4AE4-82AF-06AE6207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6690</Words>
  <Characters>38136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2024-12-10T20:04:00Z</dcterms:created>
  <dcterms:modified xsi:type="dcterms:W3CDTF">2024-12-10T20:04:00Z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