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A2AF" w14:textId="09FEF2DF" w:rsidR="00000000" w:rsidRDefault="003936F0">
      <w:pPr>
        <w:pStyle w:val="Heading1"/>
        <w:rPr>
          <w:rFonts w:cs="Arial"/>
        </w:rPr>
      </w:pPr>
      <w:bookmarkStart w:id="0" w:name="PRMS_RIName"/>
      <w:r>
        <w:rPr>
          <w:rFonts w:cs="Arial"/>
        </w:rPr>
        <w:t xml:space="preserve">                                                                                                                                                                                                                                                                                                                                                                                                                                                                                                                                                                                                                                                                                                                                                                                                                                                                                                                                                                                                                                                                                                                                                                                                                                                                                                                                                                                                                                                                                                                                                                                                                                                                                                                                                                                                                                                                                                                                                                                                                                                                                                                                                                                                                                                                                                                                                                                                                                                                                                                                                                                                                                                                                                                                                                                                                                                                                                                                                                                                                                                                                                                                                                                                                                                                                                                                                                                                                                                                                                                                                                                                                                                                                                                                                                                                                                                                                                                                                                                                                                                                                                                                                                                                                                                                                                                                                                                                                                                                                                                                                                                                </w:t>
      </w:r>
      <w:r w:rsidR="00000000">
        <w:rPr>
          <w:rFonts w:cs="Arial"/>
        </w:rPr>
        <w:t>Heritage Lifecare Limited - Princes Court Lifecare</w:t>
      </w:r>
      <w:bookmarkEnd w:id="0"/>
    </w:p>
    <w:p w14:paraId="56EEFD13" w14:textId="77777777" w:rsidR="00000000" w:rsidRDefault="00000000">
      <w:pPr>
        <w:pStyle w:val="Heading2"/>
        <w:spacing w:after="0"/>
        <w:rPr>
          <w:rFonts w:cs="Arial"/>
        </w:rPr>
      </w:pPr>
      <w:r>
        <w:rPr>
          <w:rFonts w:cs="Arial"/>
        </w:rPr>
        <w:t>Introduction</w:t>
      </w:r>
    </w:p>
    <w:p w14:paraId="296F9D9E"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9FE7676"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213725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158B61"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890EF1E" w14:textId="77777777" w:rsidR="00000000" w:rsidRDefault="00000000">
      <w:pPr>
        <w:spacing w:before="240" w:after="240"/>
        <w:rPr>
          <w:rFonts w:cs="Arial"/>
          <w:lang w:eastAsia="en-NZ"/>
        </w:rPr>
      </w:pPr>
      <w:r>
        <w:rPr>
          <w:rFonts w:cs="Arial"/>
          <w:lang w:eastAsia="en-NZ"/>
        </w:rPr>
        <w:t>The specifics of this audit included:</w:t>
      </w:r>
    </w:p>
    <w:p w14:paraId="5B321482" w14:textId="77777777" w:rsidR="00000000" w:rsidRPr="009D18F5" w:rsidRDefault="00000000" w:rsidP="00B60DAB">
      <w:pPr>
        <w:pBdr>
          <w:top w:val="single" w:sz="4" w:space="1" w:color="auto"/>
          <w:left w:val="single" w:sz="4" w:space="4" w:color="auto"/>
          <w:bottom w:val="single" w:sz="4" w:space="15" w:color="auto"/>
          <w:right w:val="single" w:sz="4" w:space="4" w:color="auto"/>
        </w:pBdr>
        <w:rPr>
          <w:rFonts w:cs="Arial"/>
        </w:rPr>
      </w:pPr>
    </w:p>
    <w:p w14:paraId="2B49AB6D" w14:textId="77777777" w:rsidR="00000000" w:rsidRPr="009418D4" w:rsidRDefault="00000000" w:rsidP="00B60DAB">
      <w:pPr>
        <w:pBdr>
          <w:top w:val="single" w:sz="4" w:space="1" w:color="auto"/>
          <w:left w:val="single" w:sz="4" w:space="4" w:color="auto"/>
          <w:bottom w:val="single" w:sz="4" w:space="15"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4442332A" w14:textId="77777777" w:rsidR="00000000" w:rsidRPr="009418D4" w:rsidRDefault="00000000" w:rsidP="00B60DAB">
      <w:pPr>
        <w:pBdr>
          <w:top w:val="single" w:sz="4" w:space="1" w:color="auto"/>
          <w:left w:val="single" w:sz="4" w:space="4" w:color="auto"/>
          <w:bottom w:val="single" w:sz="4" w:space="15"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Princes Court Lifecare</w:t>
      </w:r>
      <w:bookmarkEnd w:id="5"/>
    </w:p>
    <w:p w14:paraId="3AB19F6F" w14:textId="77777777" w:rsidR="00000000" w:rsidRPr="009418D4" w:rsidRDefault="00000000" w:rsidP="00B60DAB">
      <w:pPr>
        <w:pBdr>
          <w:top w:val="single" w:sz="4" w:space="1" w:color="auto"/>
          <w:left w:val="single" w:sz="4" w:space="4" w:color="auto"/>
          <w:bottom w:val="single" w:sz="4" w:space="15"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4B3E429C" w14:textId="77777777" w:rsidR="00000000" w:rsidRPr="009418D4" w:rsidRDefault="00000000" w:rsidP="00B60DAB">
      <w:pPr>
        <w:pBdr>
          <w:top w:val="single" w:sz="4" w:space="1" w:color="auto"/>
          <w:left w:val="single" w:sz="4" w:space="4" w:color="auto"/>
          <w:bottom w:val="single" w:sz="4" w:space="15"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October 2024</w:t>
      </w:r>
      <w:bookmarkEnd w:id="7"/>
      <w:r w:rsidRPr="009418D4">
        <w:rPr>
          <w:rFonts w:cs="Arial"/>
        </w:rPr>
        <w:tab/>
        <w:t xml:space="preserve">End date: </w:t>
      </w:r>
      <w:bookmarkStart w:id="8" w:name="AuditEndDate"/>
      <w:r>
        <w:rPr>
          <w:rFonts w:cs="Arial"/>
        </w:rPr>
        <w:t>30 October 2024</w:t>
      </w:r>
      <w:bookmarkEnd w:id="8"/>
    </w:p>
    <w:p w14:paraId="2E8E39FB" w14:textId="77777777" w:rsidR="00000000" w:rsidRPr="009418D4" w:rsidRDefault="00000000" w:rsidP="00B60DAB">
      <w:pPr>
        <w:pBdr>
          <w:top w:val="single" w:sz="4" w:space="1" w:color="auto"/>
          <w:left w:val="single" w:sz="4" w:space="4" w:color="auto"/>
          <w:bottom w:val="single" w:sz="4" w:space="15"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F11B0C0" w14:textId="0F8F042D" w:rsidR="00000000" w:rsidRDefault="00000000" w:rsidP="00B60DAB">
      <w:pPr>
        <w:pBdr>
          <w:top w:val="single" w:sz="4" w:space="1" w:color="auto"/>
          <w:left w:val="single" w:sz="4" w:space="4" w:color="auto"/>
          <w:bottom w:val="single" w:sz="4" w:space="15"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33</w:t>
      </w:r>
      <w:bookmarkEnd w:id="10"/>
      <w:proofErr w:type="gramEnd"/>
    </w:p>
    <w:p w14:paraId="34B678F6" w14:textId="77777777" w:rsidR="00000000" w:rsidRDefault="00000000">
      <w:pPr>
        <w:pStyle w:val="Heading1"/>
        <w:rPr>
          <w:rFonts w:cs="Arial"/>
        </w:rPr>
      </w:pPr>
      <w:r>
        <w:rPr>
          <w:rFonts w:cs="Arial"/>
        </w:rPr>
        <w:lastRenderedPageBreak/>
        <w:t>Executive summary of the audit</w:t>
      </w:r>
    </w:p>
    <w:p w14:paraId="574B4C95" w14:textId="77777777" w:rsidR="00000000" w:rsidRDefault="00000000">
      <w:pPr>
        <w:pStyle w:val="Heading2"/>
        <w:rPr>
          <w:rFonts w:cs="Arial"/>
        </w:rPr>
      </w:pPr>
      <w:r>
        <w:rPr>
          <w:rFonts w:cs="Arial"/>
        </w:rPr>
        <w:t>Introduction</w:t>
      </w:r>
    </w:p>
    <w:p w14:paraId="7EC5DA73"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75A6451"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1C738B1"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2D699CB"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DD6E32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7D42F6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22C122F"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C267B9"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011E519"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2B203D" w14:paraId="6483649E" w14:textId="77777777">
        <w:trPr>
          <w:cantSplit/>
          <w:tblHeader/>
        </w:trPr>
        <w:tc>
          <w:tcPr>
            <w:tcW w:w="1260" w:type="dxa"/>
            <w:tcBorders>
              <w:bottom w:val="single" w:sz="4" w:space="0" w:color="000000"/>
            </w:tcBorders>
            <w:vAlign w:val="center"/>
          </w:tcPr>
          <w:p w14:paraId="398EAF1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1E022B5"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A03E4F" w14:textId="77777777" w:rsidR="00000000" w:rsidRDefault="00000000">
            <w:pPr>
              <w:spacing w:before="60" w:after="60"/>
              <w:rPr>
                <w:rFonts w:eastAsia="Calibri"/>
                <w:b/>
                <w:szCs w:val="24"/>
              </w:rPr>
            </w:pPr>
            <w:r>
              <w:rPr>
                <w:rFonts w:eastAsia="Calibri"/>
                <w:b/>
                <w:szCs w:val="24"/>
              </w:rPr>
              <w:t>Definition</w:t>
            </w:r>
          </w:p>
        </w:tc>
      </w:tr>
      <w:tr w:rsidR="002B203D" w14:paraId="73A35FC6" w14:textId="77777777">
        <w:trPr>
          <w:cantSplit/>
          <w:trHeight w:val="964"/>
        </w:trPr>
        <w:tc>
          <w:tcPr>
            <w:tcW w:w="1260" w:type="dxa"/>
            <w:tcBorders>
              <w:bottom w:val="single" w:sz="4" w:space="0" w:color="000000"/>
            </w:tcBorders>
            <w:shd w:val="clear" w:color="0066FF" w:fill="0000FF"/>
            <w:vAlign w:val="center"/>
          </w:tcPr>
          <w:p w14:paraId="1FB7EE6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E4263B9"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3F89CC8"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B203D" w14:paraId="2A7AC018" w14:textId="77777777">
        <w:trPr>
          <w:cantSplit/>
          <w:trHeight w:val="964"/>
        </w:trPr>
        <w:tc>
          <w:tcPr>
            <w:tcW w:w="1260" w:type="dxa"/>
            <w:shd w:val="clear" w:color="33CC33" w:fill="00FF00"/>
            <w:vAlign w:val="center"/>
          </w:tcPr>
          <w:p w14:paraId="5D9E14D5" w14:textId="77777777" w:rsidR="00000000" w:rsidRDefault="00000000">
            <w:pPr>
              <w:spacing w:before="60" w:after="60"/>
              <w:rPr>
                <w:rFonts w:eastAsia="Calibri"/>
                <w:szCs w:val="24"/>
              </w:rPr>
            </w:pPr>
          </w:p>
        </w:tc>
        <w:tc>
          <w:tcPr>
            <w:tcW w:w="7095" w:type="dxa"/>
            <w:shd w:val="clear" w:color="auto" w:fill="auto"/>
            <w:vAlign w:val="center"/>
          </w:tcPr>
          <w:p w14:paraId="14920A6B"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1A678F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2B203D" w14:paraId="70F7712F" w14:textId="77777777">
        <w:trPr>
          <w:cantSplit/>
          <w:trHeight w:val="964"/>
        </w:trPr>
        <w:tc>
          <w:tcPr>
            <w:tcW w:w="1260" w:type="dxa"/>
            <w:tcBorders>
              <w:bottom w:val="single" w:sz="4" w:space="0" w:color="000000"/>
            </w:tcBorders>
            <w:shd w:val="clear" w:color="auto" w:fill="FFFF00"/>
            <w:vAlign w:val="center"/>
          </w:tcPr>
          <w:p w14:paraId="42282CF0" w14:textId="77777777" w:rsidR="00000000" w:rsidRDefault="00000000">
            <w:pPr>
              <w:spacing w:before="60" w:after="60"/>
              <w:rPr>
                <w:rFonts w:eastAsia="Calibri"/>
                <w:szCs w:val="24"/>
              </w:rPr>
            </w:pPr>
          </w:p>
        </w:tc>
        <w:tc>
          <w:tcPr>
            <w:tcW w:w="7095" w:type="dxa"/>
            <w:shd w:val="clear" w:color="auto" w:fill="auto"/>
            <w:vAlign w:val="center"/>
          </w:tcPr>
          <w:p w14:paraId="1A50D353"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9C7CC5A"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B203D" w14:paraId="5FBECAE7" w14:textId="77777777">
        <w:trPr>
          <w:cantSplit/>
          <w:trHeight w:val="964"/>
        </w:trPr>
        <w:tc>
          <w:tcPr>
            <w:tcW w:w="1260" w:type="dxa"/>
            <w:tcBorders>
              <w:bottom w:val="single" w:sz="4" w:space="0" w:color="000000"/>
            </w:tcBorders>
            <w:shd w:val="clear" w:color="auto" w:fill="FFC800"/>
            <w:vAlign w:val="center"/>
          </w:tcPr>
          <w:p w14:paraId="5FBE05C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7F02D6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40ADCA0"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B203D" w14:paraId="77B28C6C" w14:textId="77777777">
        <w:trPr>
          <w:cantSplit/>
          <w:trHeight w:val="964"/>
        </w:trPr>
        <w:tc>
          <w:tcPr>
            <w:tcW w:w="1260" w:type="dxa"/>
            <w:shd w:val="clear" w:color="auto" w:fill="FF0000"/>
            <w:vAlign w:val="center"/>
          </w:tcPr>
          <w:p w14:paraId="357AE599" w14:textId="77777777" w:rsidR="00000000" w:rsidRDefault="00000000">
            <w:pPr>
              <w:spacing w:before="60" w:after="60"/>
              <w:rPr>
                <w:rFonts w:eastAsia="Calibri"/>
                <w:szCs w:val="24"/>
              </w:rPr>
            </w:pPr>
          </w:p>
        </w:tc>
        <w:tc>
          <w:tcPr>
            <w:tcW w:w="7095" w:type="dxa"/>
            <w:shd w:val="clear" w:color="auto" w:fill="auto"/>
            <w:vAlign w:val="center"/>
          </w:tcPr>
          <w:p w14:paraId="46C6E4B7"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7411AEB"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7C21062" w14:textId="77777777" w:rsidR="00000000" w:rsidRDefault="00000000">
      <w:pPr>
        <w:pStyle w:val="Heading2"/>
        <w:spacing w:after="0"/>
        <w:rPr>
          <w:rFonts w:cs="Arial"/>
        </w:rPr>
      </w:pPr>
      <w:r>
        <w:rPr>
          <w:rFonts w:cs="Arial"/>
        </w:rPr>
        <w:t>General overview of the audit</w:t>
      </w:r>
    </w:p>
    <w:p w14:paraId="0AFB50E7" w14:textId="77777777" w:rsidR="00000000" w:rsidRDefault="00000000">
      <w:pPr>
        <w:spacing w:before="240" w:line="276" w:lineRule="auto"/>
        <w:rPr>
          <w:rFonts w:eastAsia="Calibri"/>
        </w:rPr>
      </w:pPr>
      <w:bookmarkStart w:id="13" w:name="GeneralOverview"/>
      <w:r w:rsidRPr="00A4268A">
        <w:rPr>
          <w:rFonts w:eastAsia="Calibri"/>
        </w:rPr>
        <w:t xml:space="preserve">Princes Court Lifecare is owned by Heritage Lifecare Limited and provides care for up to 35 residents. The service provides rest home level dementia care, including respite care and long-term chronic health conditions. The service is currently managed by a relieving care home manager (CHM), with a new CHM appointed and due to start in a few weeks’ time. A recently appointed clinical service manager (CSM) is providing clinical leadership and oversight of the service. </w:t>
      </w:r>
    </w:p>
    <w:p w14:paraId="665B6477" w14:textId="77777777" w:rsidR="002B203D" w:rsidRPr="00A4268A" w:rsidRDefault="00000000">
      <w:pPr>
        <w:spacing w:before="240" w:line="276" w:lineRule="auto"/>
        <w:rPr>
          <w:rFonts w:eastAsia="Calibri"/>
        </w:rPr>
      </w:pPr>
      <w:r w:rsidRPr="00A4268A">
        <w:rPr>
          <w:rFonts w:eastAsia="Calibri"/>
        </w:rPr>
        <w:t xml:space="preserve">This unannounced surveillance audit was conducted against a subset of the Ngā Paerewa Health and Disability Services Standard NZS 8134:2021 and the contracts held with Health New Zealand – Te Whatu Ora Waitaha Canterbury. This audit process included review of policies and procedures, review of residents’ and staff files, observations and interviews with residents, whānau/family members, members of the governance group, managers, staff and a general practitioner. </w:t>
      </w:r>
    </w:p>
    <w:p w14:paraId="5B2A0C0F" w14:textId="77777777" w:rsidR="002B203D" w:rsidRPr="00A4268A" w:rsidRDefault="00000000">
      <w:pPr>
        <w:spacing w:before="240" w:line="276" w:lineRule="auto"/>
        <w:rPr>
          <w:rFonts w:eastAsia="Calibri"/>
        </w:rPr>
      </w:pPr>
      <w:r w:rsidRPr="00A4268A">
        <w:rPr>
          <w:rFonts w:eastAsia="Calibri"/>
        </w:rPr>
        <w:t>Strengths of the service are the facility’s staff team, including the care and respect they show to the residents, and the outdoor and garden areas. The corrective actions required from the previous audit have been addressed, with improvements made around informed consent documentation, staff training and individualised care plans.  As a result of this audit, improvements are required around orientation records, performance appraisals and general/nurse practitioner review timeframes on admission.</w:t>
      </w:r>
    </w:p>
    <w:bookmarkEnd w:id="13"/>
    <w:p w14:paraId="771D8BB0" w14:textId="77777777" w:rsidR="002B203D" w:rsidRPr="00A4268A" w:rsidRDefault="002B203D">
      <w:pPr>
        <w:spacing w:before="240" w:line="276" w:lineRule="auto"/>
        <w:rPr>
          <w:rFonts w:eastAsia="Calibri"/>
        </w:rPr>
      </w:pPr>
    </w:p>
    <w:p w14:paraId="4384E2E3"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6C4EE205" w14:textId="77777777" w:rsidTr="00A4268A">
        <w:trPr>
          <w:cantSplit/>
        </w:trPr>
        <w:tc>
          <w:tcPr>
            <w:tcW w:w="10206" w:type="dxa"/>
            <w:vAlign w:val="center"/>
          </w:tcPr>
          <w:p w14:paraId="5C00F35B"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B84E28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3F3CB5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ACC57BD"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941DD64" w14:textId="77777777" w:rsidR="00000000" w:rsidRDefault="00000000">
      <w:pPr>
        <w:spacing w:before="240" w:line="276" w:lineRule="auto"/>
        <w:rPr>
          <w:rFonts w:eastAsia="Calibri"/>
        </w:rPr>
      </w:pPr>
      <w:bookmarkStart w:id="16" w:name="ConsumerRights"/>
      <w:r w:rsidRPr="00A4268A">
        <w:rPr>
          <w:rFonts w:eastAsia="Calibri"/>
        </w:rPr>
        <w:t xml:space="preserve">Princes Court Lifecare works collaboratively to support and encourage a Māori world view of health in service delivery. Māori will be provided with equitable and effective services based on Te Tiriti o Waitangi and the principles of mana motuhake. </w:t>
      </w:r>
    </w:p>
    <w:p w14:paraId="5ED71DAB" w14:textId="77777777" w:rsidR="002B203D" w:rsidRPr="00A4268A" w:rsidRDefault="00000000">
      <w:pPr>
        <w:spacing w:before="240" w:line="276" w:lineRule="auto"/>
        <w:rPr>
          <w:rFonts w:eastAsia="Calibri"/>
        </w:rPr>
      </w:pPr>
      <w:r w:rsidRPr="00A4268A">
        <w:rPr>
          <w:rFonts w:eastAsia="Calibri"/>
        </w:rPr>
        <w:t xml:space="preserve">Pacific peoples will be provided with services that recognise their worldviews and are culturally safe. </w:t>
      </w:r>
    </w:p>
    <w:p w14:paraId="7D9A08E0" w14:textId="77777777" w:rsidR="002B203D"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finances and property of residents was respected. </w:t>
      </w:r>
    </w:p>
    <w:p w14:paraId="19537ED3" w14:textId="77777777" w:rsidR="002B203D"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Whānau and legal representatives are involved in decision-making that complies with the law. Residents and whānau felt included when making decisions about care and treatment. </w:t>
      </w:r>
    </w:p>
    <w:p w14:paraId="33352B76" w14:textId="77777777" w:rsidR="002B203D" w:rsidRPr="00A4268A" w:rsidRDefault="00000000">
      <w:pPr>
        <w:spacing w:before="240" w:line="276" w:lineRule="auto"/>
        <w:rPr>
          <w:rFonts w:eastAsia="Calibri"/>
        </w:rPr>
      </w:pPr>
      <w:r w:rsidRPr="00A4268A">
        <w:rPr>
          <w:rFonts w:eastAsia="Calibri"/>
        </w:rPr>
        <w:t>Processes are in place to ensure complaints are resolved promptly, equitably and effectively in collaboration with all parties involved.</w:t>
      </w:r>
    </w:p>
    <w:bookmarkEnd w:id="16"/>
    <w:p w14:paraId="19D11A4C" w14:textId="77777777" w:rsidR="002B203D" w:rsidRPr="00A4268A" w:rsidRDefault="002B203D">
      <w:pPr>
        <w:spacing w:before="240" w:line="276" w:lineRule="auto"/>
        <w:rPr>
          <w:rFonts w:eastAsia="Calibri"/>
        </w:rPr>
      </w:pPr>
    </w:p>
    <w:p w14:paraId="05EA9394"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2FABDB52" w14:textId="77777777" w:rsidTr="00A4268A">
        <w:trPr>
          <w:cantSplit/>
        </w:trPr>
        <w:tc>
          <w:tcPr>
            <w:tcW w:w="10206" w:type="dxa"/>
            <w:vAlign w:val="center"/>
          </w:tcPr>
          <w:p w14:paraId="132C509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61B55D8"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B8F56C"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F099D46" w14:textId="77777777" w:rsidR="00000000"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5EE37805" w14:textId="77777777" w:rsidR="002B203D"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7803FBE" w14:textId="77777777" w:rsidR="002B203D"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6E1A3363" w14:textId="77777777" w:rsidR="002B203D"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w:t>
      </w:r>
    </w:p>
    <w:p w14:paraId="7E325539" w14:textId="77777777" w:rsidR="002B203D"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6BFC5A13" w14:textId="77777777" w:rsidR="002B203D"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4B187A2C" w14:textId="77777777" w:rsidR="002B203D"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and a performance review process is in place.</w:t>
      </w:r>
    </w:p>
    <w:bookmarkEnd w:id="19"/>
    <w:p w14:paraId="0513B9C9" w14:textId="77777777" w:rsidR="002B203D" w:rsidRPr="00A4268A" w:rsidRDefault="002B203D">
      <w:pPr>
        <w:spacing w:before="240" w:line="276" w:lineRule="auto"/>
        <w:rPr>
          <w:rFonts w:eastAsia="Calibri"/>
        </w:rPr>
      </w:pPr>
    </w:p>
    <w:p w14:paraId="60CB18A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5B5A2DF4" w14:textId="77777777" w:rsidTr="00A4268A">
        <w:trPr>
          <w:cantSplit/>
        </w:trPr>
        <w:tc>
          <w:tcPr>
            <w:tcW w:w="10206" w:type="dxa"/>
            <w:vAlign w:val="center"/>
          </w:tcPr>
          <w:p w14:paraId="6A7DA73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183EB8C"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F05783"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DA1E31A"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or legal representative to assess, plan and evaluate care. Care plans were individualised and based on comprehensive risk-based assessments. Files reviewed demonstrated that care met the needs of residents and whānau and was evaluated on a regular and timely basis. </w:t>
      </w:r>
    </w:p>
    <w:p w14:paraId="369220C8" w14:textId="77777777" w:rsidR="002B203D"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1F00654F" w14:textId="77777777" w:rsidR="002B203D"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6D3B5A91" w14:textId="77777777" w:rsidR="002B203D"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90E68D6" w14:textId="77777777" w:rsidR="002B203D" w:rsidRPr="00A4268A" w:rsidRDefault="002B203D" w:rsidP="00621629">
      <w:pPr>
        <w:spacing w:before="240" w:line="276" w:lineRule="auto"/>
        <w:rPr>
          <w:rFonts w:eastAsia="Calibri"/>
        </w:rPr>
      </w:pPr>
    </w:p>
    <w:p w14:paraId="58D88C78"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0AA8B7BB" w14:textId="77777777" w:rsidTr="00A4268A">
        <w:trPr>
          <w:cantSplit/>
        </w:trPr>
        <w:tc>
          <w:tcPr>
            <w:tcW w:w="10206" w:type="dxa"/>
            <w:vAlign w:val="center"/>
          </w:tcPr>
          <w:p w14:paraId="0691B05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E25A2F0"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E89BAB"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59D34CA"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is tested as required.</w:t>
      </w:r>
    </w:p>
    <w:bookmarkEnd w:id="25"/>
    <w:p w14:paraId="7AFED12B" w14:textId="77777777" w:rsidR="002B203D" w:rsidRPr="00A4268A" w:rsidRDefault="002B203D">
      <w:pPr>
        <w:spacing w:before="240" w:line="276" w:lineRule="auto"/>
        <w:rPr>
          <w:rFonts w:eastAsia="Calibri"/>
        </w:rPr>
      </w:pPr>
    </w:p>
    <w:p w14:paraId="1CAB49C5"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4755976B" w14:textId="77777777" w:rsidTr="00A4268A">
        <w:trPr>
          <w:cantSplit/>
        </w:trPr>
        <w:tc>
          <w:tcPr>
            <w:tcW w:w="10206" w:type="dxa"/>
            <w:vAlign w:val="center"/>
          </w:tcPr>
          <w:p w14:paraId="7239DAD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08C4C0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4CB8AE"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99EC428"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1AD7F5AB" w14:textId="77777777" w:rsidR="002B203D"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69F8715E" w14:textId="77777777" w:rsidR="002B203D"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7B221197" w14:textId="77777777" w:rsidR="002B203D" w:rsidRPr="00A4268A" w:rsidRDefault="002B203D">
      <w:pPr>
        <w:spacing w:before="240" w:line="276" w:lineRule="auto"/>
        <w:rPr>
          <w:rFonts w:eastAsia="Calibri"/>
        </w:rPr>
      </w:pPr>
    </w:p>
    <w:p w14:paraId="6509C404"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03D" w14:paraId="4BB926B3" w14:textId="77777777" w:rsidTr="00A4268A">
        <w:trPr>
          <w:cantSplit/>
        </w:trPr>
        <w:tc>
          <w:tcPr>
            <w:tcW w:w="10206" w:type="dxa"/>
            <w:vAlign w:val="center"/>
          </w:tcPr>
          <w:p w14:paraId="42B1B88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700DC2D"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0B689D"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90E8ECD"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provides a restraint-free environment. This is supported by the governing body and policies and procedures. There were no residents using restraints at the time of audit. </w:t>
      </w:r>
    </w:p>
    <w:p w14:paraId="5E8905EB" w14:textId="77777777" w:rsidR="002B203D" w:rsidRPr="00A4268A" w:rsidRDefault="00000000">
      <w:pPr>
        <w:spacing w:before="240" w:line="276" w:lineRule="auto"/>
        <w:rPr>
          <w:rFonts w:eastAsia="Calibri"/>
        </w:rPr>
      </w:pPr>
      <w:r w:rsidRPr="00A4268A">
        <w:rPr>
          <w:rFonts w:eastAsia="Calibri"/>
        </w:rPr>
        <w:lastRenderedPageBreak/>
        <w:t>Staff have been trained in providing the least restrictive practice, de-escalation techniques, alternative interventions, and demonstrated effective practice.</w:t>
      </w:r>
    </w:p>
    <w:bookmarkEnd w:id="31"/>
    <w:p w14:paraId="49B4F218" w14:textId="77777777" w:rsidR="002B203D" w:rsidRPr="00A4268A" w:rsidRDefault="002B203D">
      <w:pPr>
        <w:spacing w:before="240" w:line="276" w:lineRule="auto"/>
        <w:rPr>
          <w:rFonts w:eastAsia="Calibri"/>
        </w:rPr>
      </w:pPr>
    </w:p>
    <w:p w14:paraId="3DB867DF" w14:textId="77777777" w:rsidR="00000000" w:rsidRDefault="00000000" w:rsidP="000E6E02">
      <w:pPr>
        <w:pStyle w:val="Heading2"/>
        <w:spacing w:before="0"/>
        <w:rPr>
          <w:rFonts w:cs="Arial"/>
        </w:rPr>
      </w:pPr>
      <w:r>
        <w:rPr>
          <w:rFonts w:cs="Arial"/>
        </w:rPr>
        <w:t>Summary of attainment</w:t>
      </w:r>
    </w:p>
    <w:p w14:paraId="6675B81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203D" w14:paraId="0C9737E3" w14:textId="77777777">
        <w:tc>
          <w:tcPr>
            <w:tcW w:w="1384" w:type="dxa"/>
            <w:vAlign w:val="center"/>
          </w:tcPr>
          <w:p w14:paraId="4D2441A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2F71104" w14:textId="77777777" w:rsidR="00000000" w:rsidRDefault="00000000">
            <w:pPr>
              <w:keepNext/>
              <w:spacing w:before="60" w:after="60"/>
              <w:jc w:val="center"/>
              <w:rPr>
                <w:rFonts w:cs="Arial"/>
                <w:b/>
                <w:sz w:val="20"/>
                <w:szCs w:val="20"/>
              </w:rPr>
            </w:pPr>
            <w:r>
              <w:rPr>
                <w:rFonts w:cs="Arial"/>
                <w:b/>
                <w:sz w:val="20"/>
                <w:szCs w:val="20"/>
              </w:rPr>
              <w:t>Continuous Improvement</w:t>
            </w:r>
          </w:p>
          <w:p w14:paraId="5B54712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1862044" w14:textId="77777777" w:rsidR="00000000" w:rsidRDefault="00000000">
            <w:pPr>
              <w:keepNext/>
              <w:spacing w:before="60" w:after="60"/>
              <w:jc w:val="center"/>
              <w:rPr>
                <w:rFonts w:cs="Arial"/>
                <w:b/>
                <w:sz w:val="20"/>
                <w:szCs w:val="20"/>
              </w:rPr>
            </w:pPr>
            <w:r>
              <w:rPr>
                <w:rFonts w:cs="Arial"/>
                <w:b/>
                <w:sz w:val="20"/>
                <w:szCs w:val="20"/>
              </w:rPr>
              <w:t>Fully Attained</w:t>
            </w:r>
          </w:p>
          <w:p w14:paraId="2190B08A"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6D15DD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9092A43"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A7388A"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D30C4B2"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2F6D435"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237AC53"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CDAD96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2D3087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4F82148"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E21AA83" w14:textId="77777777" w:rsidR="00000000" w:rsidRDefault="00000000">
            <w:pPr>
              <w:keepNext/>
              <w:spacing w:before="60" w:after="60"/>
              <w:jc w:val="center"/>
              <w:rPr>
                <w:rFonts w:cs="Arial"/>
                <w:b/>
                <w:sz w:val="20"/>
                <w:szCs w:val="20"/>
              </w:rPr>
            </w:pPr>
            <w:r>
              <w:rPr>
                <w:rFonts w:cs="Arial"/>
                <w:b/>
                <w:sz w:val="20"/>
                <w:szCs w:val="20"/>
              </w:rPr>
              <w:t>(PA Critical)</w:t>
            </w:r>
          </w:p>
        </w:tc>
      </w:tr>
      <w:tr w:rsidR="002B203D" w14:paraId="07EE0E06" w14:textId="77777777">
        <w:tc>
          <w:tcPr>
            <w:tcW w:w="1384" w:type="dxa"/>
            <w:vAlign w:val="center"/>
          </w:tcPr>
          <w:p w14:paraId="2047C035"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BA56254"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2BA2FB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BC6765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B70481"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334B057"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75DCD87"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A2784E"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203D" w14:paraId="6268E0C3" w14:textId="77777777">
        <w:tc>
          <w:tcPr>
            <w:tcW w:w="1384" w:type="dxa"/>
            <w:vAlign w:val="center"/>
          </w:tcPr>
          <w:p w14:paraId="529CACCF"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F9E569E"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6DC7EF"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069C022E"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0C56D5"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66C0518"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0C29C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2ABC31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C837FA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203D" w14:paraId="0EDF2DE2" w14:textId="77777777">
        <w:tc>
          <w:tcPr>
            <w:tcW w:w="1384" w:type="dxa"/>
            <w:vAlign w:val="center"/>
          </w:tcPr>
          <w:p w14:paraId="0BC4988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01B9CA7"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E557BF4"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080E57C" w14:textId="77777777" w:rsidR="00000000" w:rsidRDefault="00000000">
            <w:pPr>
              <w:keepNext/>
              <w:spacing w:before="60" w:after="60"/>
              <w:jc w:val="center"/>
              <w:rPr>
                <w:rFonts w:cs="Arial"/>
                <w:b/>
                <w:sz w:val="20"/>
                <w:szCs w:val="20"/>
              </w:rPr>
            </w:pPr>
            <w:r>
              <w:rPr>
                <w:rFonts w:cs="Arial"/>
                <w:b/>
                <w:sz w:val="20"/>
                <w:szCs w:val="20"/>
              </w:rPr>
              <w:t>Unattained Low Risk</w:t>
            </w:r>
          </w:p>
          <w:p w14:paraId="6BF06F1B"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1E34D55" w14:textId="77777777" w:rsidR="00000000" w:rsidRDefault="00000000">
            <w:pPr>
              <w:keepNext/>
              <w:spacing w:before="60" w:after="60"/>
              <w:jc w:val="center"/>
              <w:rPr>
                <w:rFonts w:cs="Arial"/>
                <w:b/>
                <w:sz w:val="20"/>
                <w:szCs w:val="20"/>
              </w:rPr>
            </w:pPr>
            <w:r>
              <w:rPr>
                <w:rFonts w:cs="Arial"/>
                <w:b/>
                <w:sz w:val="20"/>
                <w:szCs w:val="20"/>
              </w:rPr>
              <w:t>Unattained Moderate Risk</w:t>
            </w:r>
          </w:p>
          <w:p w14:paraId="081A71E6"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9904AFD" w14:textId="77777777" w:rsidR="00000000" w:rsidRDefault="00000000">
            <w:pPr>
              <w:keepNext/>
              <w:spacing w:before="60" w:after="60"/>
              <w:jc w:val="center"/>
              <w:rPr>
                <w:rFonts w:cs="Arial"/>
                <w:b/>
                <w:sz w:val="20"/>
                <w:szCs w:val="20"/>
              </w:rPr>
            </w:pPr>
            <w:r>
              <w:rPr>
                <w:rFonts w:cs="Arial"/>
                <w:b/>
                <w:sz w:val="20"/>
                <w:szCs w:val="20"/>
              </w:rPr>
              <w:t>Unattained High Risk</w:t>
            </w:r>
          </w:p>
          <w:p w14:paraId="2F99B2DB"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66F35EE" w14:textId="77777777" w:rsidR="00000000" w:rsidRDefault="00000000">
            <w:pPr>
              <w:keepNext/>
              <w:spacing w:before="60" w:after="60"/>
              <w:jc w:val="center"/>
              <w:rPr>
                <w:rFonts w:cs="Arial"/>
                <w:b/>
                <w:sz w:val="20"/>
                <w:szCs w:val="20"/>
              </w:rPr>
            </w:pPr>
            <w:r>
              <w:rPr>
                <w:rFonts w:cs="Arial"/>
                <w:b/>
                <w:sz w:val="20"/>
                <w:szCs w:val="20"/>
              </w:rPr>
              <w:t>Unattained Critical Risk</w:t>
            </w:r>
          </w:p>
          <w:p w14:paraId="6374B20B" w14:textId="77777777" w:rsidR="00000000" w:rsidRDefault="00000000">
            <w:pPr>
              <w:keepNext/>
              <w:spacing w:before="60" w:after="60"/>
              <w:jc w:val="center"/>
              <w:rPr>
                <w:rFonts w:cs="Arial"/>
                <w:b/>
                <w:sz w:val="20"/>
                <w:szCs w:val="20"/>
              </w:rPr>
            </w:pPr>
            <w:r>
              <w:rPr>
                <w:rFonts w:cs="Arial"/>
                <w:b/>
                <w:sz w:val="20"/>
                <w:szCs w:val="20"/>
              </w:rPr>
              <w:t>(UA Critical)</w:t>
            </w:r>
          </w:p>
        </w:tc>
      </w:tr>
      <w:tr w:rsidR="002B203D" w14:paraId="7D0EC036" w14:textId="77777777">
        <w:tc>
          <w:tcPr>
            <w:tcW w:w="1384" w:type="dxa"/>
            <w:vAlign w:val="center"/>
          </w:tcPr>
          <w:p w14:paraId="22F0016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C73B9FE"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B327BB"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A07FE7C"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FBAB4D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B75A4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203D" w14:paraId="573AE5F2" w14:textId="77777777">
        <w:tc>
          <w:tcPr>
            <w:tcW w:w="1384" w:type="dxa"/>
            <w:vAlign w:val="center"/>
          </w:tcPr>
          <w:p w14:paraId="39F0CBD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5C879BA"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F2BC1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927CC2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CFB44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4500C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945C1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B9DBCC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5F7FF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3BC517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367"/>
        <w:gridCol w:w="7227"/>
      </w:tblGrid>
      <w:tr w:rsidR="002B203D" w14:paraId="61CE6E8C" w14:textId="77777777">
        <w:tc>
          <w:tcPr>
            <w:tcW w:w="0" w:type="auto"/>
          </w:tcPr>
          <w:p w14:paraId="0A8E00F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4C71F0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FE249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B203D" w14:paraId="5272A035" w14:textId="77777777">
        <w:tc>
          <w:tcPr>
            <w:tcW w:w="0" w:type="auto"/>
          </w:tcPr>
          <w:p w14:paraId="4773EBD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52A8D8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C84AE18" w14:textId="77777777" w:rsidR="00000000" w:rsidRPr="00BE00C7" w:rsidRDefault="00000000" w:rsidP="00BE00C7">
            <w:pPr>
              <w:pStyle w:val="OutcomeDescription"/>
              <w:spacing w:before="120" w:after="120"/>
              <w:rPr>
                <w:rFonts w:cs="Arial"/>
                <w:lang w:eastAsia="en-NZ"/>
              </w:rPr>
            </w:pPr>
          </w:p>
        </w:tc>
        <w:tc>
          <w:tcPr>
            <w:tcW w:w="0" w:type="auto"/>
          </w:tcPr>
          <w:p w14:paraId="591782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FEA8ED" w14:textId="77777777" w:rsidR="00000000" w:rsidRPr="00BE00C7" w:rsidRDefault="00000000" w:rsidP="00BE00C7">
            <w:pPr>
              <w:pStyle w:val="OutcomeDescription"/>
              <w:spacing w:before="120" w:after="120"/>
              <w:rPr>
                <w:rFonts w:cs="Arial"/>
                <w:lang w:eastAsia="en-NZ"/>
              </w:rPr>
            </w:pPr>
            <w:r w:rsidRPr="00BE00C7">
              <w:rPr>
                <w:rFonts w:cs="Arial"/>
                <w:lang w:eastAsia="en-NZ"/>
              </w:rPr>
              <w:t>Princes Court Lifecare (Princes Court) Heritage Lifecare Limited (HLL) has a Māori Health Plan to guide care delivery should there be any Māori being supported by the service. The Māori Health Plan incorporates the Whare Tapa Whā model of care, to ensure mana motuhake (self-determination) is respected. The plan has been developed with input from cultural advisers and can be used for residents who identify as Māori. There were no residents at the time of the audit who identified as Māori.</w:t>
            </w:r>
          </w:p>
          <w:p w14:paraId="45A3955E" w14:textId="77777777" w:rsidR="00000000" w:rsidRPr="00BE00C7" w:rsidRDefault="00000000"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There were staff at the time of audit who identified as Māori.</w:t>
            </w:r>
          </w:p>
          <w:p w14:paraId="2FA607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group provides information through the clinical governance structure (the clinical advisory group) to the board. The service can access support through Te Whatu Ora – Health New Zealand Waitaha Canterbury, through local Māori health providers and through its local marae.</w:t>
            </w:r>
          </w:p>
          <w:p w14:paraId="0F8D9B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Training on Te Tiriti o Waitangi is part of the training programme. Staff </w:t>
            </w:r>
            <w:r w:rsidRPr="00BE00C7">
              <w:rPr>
                <w:rFonts w:cs="Arial"/>
                <w:lang w:eastAsia="en-NZ"/>
              </w:rPr>
              <w:lastRenderedPageBreak/>
              <w:t>reported, and documentation evidenced, that the training had been provided.</w:t>
            </w:r>
          </w:p>
          <w:p w14:paraId="468409A4" w14:textId="77777777" w:rsidR="00000000" w:rsidRPr="00BE00C7" w:rsidRDefault="00000000" w:rsidP="00BE00C7">
            <w:pPr>
              <w:pStyle w:val="OutcomeDescription"/>
              <w:spacing w:before="120" w:after="120"/>
              <w:rPr>
                <w:rFonts w:cs="Arial"/>
                <w:lang w:eastAsia="en-NZ"/>
              </w:rPr>
            </w:pPr>
          </w:p>
        </w:tc>
      </w:tr>
      <w:tr w:rsidR="002B203D" w14:paraId="43D48D3B" w14:textId="77777777">
        <w:tc>
          <w:tcPr>
            <w:tcW w:w="0" w:type="auto"/>
          </w:tcPr>
          <w:p w14:paraId="127903F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79A1E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E8F2E6A" w14:textId="77777777" w:rsidR="00000000" w:rsidRPr="00BE00C7" w:rsidRDefault="00000000" w:rsidP="00BE00C7">
            <w:pPr>
              <w:pStyle w:val="OutcomeDescription"/>
              <w:spacing w:before="120" w:after="120"/>
              <w:rPr>
                <w:rFonts w:cs="Arial"/>
                <w:lang w:eastAsia="en-NZ"/>
              </w:rPr>
            </w:pPr>
          </w:p>
        </w:tc>
        <w:tc>
          <w:tcPr>
            <w:tcW w:w="0" w:type="auto"/>
          </w:tcPr>
          <w:p w14:paraId="55F4966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3A33CD" w14:textId="77777777" w:rsidR="00000000" w:rsidRPr="00BE00C7" w:rsidRDefault="00000000" w:rsidP="00BE00C7">
            <w:pPr>
              <w:pStyle w:val="OutcomeDescription"/>
              <w:spacing w:before="120" w:after="120"/>
              <w:rPr>
                <w:rFonts w:cs="Arial"/>
                <w:lang w:eastAsia="en-NZ"/>
              </w:rPr>
            </w:pPr>
            <w:r w:rsidRPr="00BE00C7">
              <w:rPr>
                <w:rFonts w:cs="Arial"/>
                <w:lang w:eastAsia="en-NZ"/>
              </w:rPr>
              <w:t>Heritage Lifecare understood the equity issues faced by Pacific peoples and can access guidance from people within the organisation around appropriate care and service for Pasifika. Two members of the executive team identify as Pasifika. They can assist the board to meet their Ngā Paerewa obligations to Pacific peoples.</w:t>
            </w:r>
          </w:p>
          <w:p w14:paraId="0AE1FF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five staff who identified as Pasifika at the time of the audit. Staff reported, and documentation evidenced, that cultural training had been provided.</w:t>
            </w:r>
          </w:p>
          <w:p w14:paraId="1B06B0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in place which utilises the Fonofale model of care documenting care requirements for Pacific peoples to ensure culturally appropriate services. </w:t>
            </w:r>
          </w:p>
          <w:p w14:paraId="6ABC20D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plan has been developed with input from cultural advisers. Princes Court has established access to local Pasifika communities through a cultural advisor. There were no residents who identified as Pasifika at the time of the audit.</w:t>
            </w:r>
          </w:p>
          <w:p w14:paraId="4E44E366" w14:textId="77777777" w:rsidR="00000000" w:rsidRPr="00BE00C7" w:rsidRDefault="00000000" w:rsidP="00BE00C7">
            <w:pPr>
              <w:pStyle w:val="OutcomeDescription"/>
              <w:spacing w:before="120" w:after="120"/>
              <w:rPr>
                <w:rFonts w:cs="Arial"/>
                <w:lang w:eastAsia="en-NZ"/>
              </w:rPr>
            </w:pPr>
          </w:p>
        </w:tc>
      </w:tr>
      <w:tr w:rsidR="002B203D" w14:paraId="61CA7525" w14:textId="77777777">
        <w:tc>
          <w:tcPr>
            <w:tcW w:w="0" w:type="auto"/>
          </w:tcPr>
          <w:p w14:paraId="4C3AEDB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BBE8B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7ED32CF" w14:textId="77777777" w:rsidR="00000000" w:rsidRPr="00BE00C7" w:rsidRDefault="00000000" w:rsidP="00BE00C7">
            <w:pPr>
              <w:pStyle w:val="OutcomeDescription"/>
              <w:spacing w:before="120" w:after="120"/>
              <w:rPr>
                <w:rFonts w:cs="Arial"/>
                <w:lang w:eastAsia="en-NZ"/>
              </w:rPr>
            </w:pPr>
          </w:p>
        </w:tc>
        <w:tc>
          <w:tcPr>
            <w:tcW w:w="0" w:type="auto"/>
          </w:tcPr>
          <w:p w14:paraId="51C2E84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566ED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37E6458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180550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code of rights was displayed on the wall at the front entry of the facility and included in the admission pack.</w:t>
            </w:r>
          </w:p>
          <w:p w14:paraId="1EE2119D" w14:textId="77777777" w:rsidR="00000000" w:rsidRPr="00BE00C7" w:rsidRDefault="00000000" w:rsidP="00BE00C7">
            <w:pPr>
              <w:pStyle w:val="OutcomeDescription"/>
              <w:spacing w:before="120" w:after="120"/>
              <w:rPr>
                <w:rFonts w:cs="Arial"/>
                <w:lang w:eastAsia="en-NZ"/>
              </w:rPr>
            </w:pPr>
          </w:p>
        </w:tc>
      </w:tr>
      <w:tr w:rsidR="002B203D" w14:paraId="598D063D" w14:textId="77777777">
        <w:tc>
          <w:tcPr>
            <w:tcW w:w="0" w:type="auto"/>
          </w:tcPr>
          <w:p w14:paraId="2EFD06B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BF7D1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lastRenderedPageBreak/>
              <w:t>from abuse.</w:t>
            </w:r>
            <w:r w:rsidRPr="00BE00C7">
              <w:rPr>
                <w:rFonts w:cs="Arial"/>
                <w:lang w:eastAsia="en-NZ"/>
              </w:rPr>
              <w:br/>
              <w:t>As service providers: We ensure the people using our services are safe and protected from abuse.</w:t>
            </w:r>
          </w:p>
          <w:p w14:paraId="2D399E10" w14:textId="77777777" w:rsidR="00000000" w:rsidRPr="00BE00C7" w:rsidRDefault="00000000" w:rsidP="00BE00C7">
            <w:pPr>
              <w:pStyle w:val="OutcomeDescription"/>
              <w:spacing w:before="120" w:after="120"/>
              <w:rPr>
                <w:rFonts w:cs="Arial"/>
                <w:lang w:eastAsia="en-NZ"/>
              </w:rPr>
            </w:pPr>
          </w:p>
        </w:tc>
        <w:tc>
          <w:tcPr>
            <w:tcW w:w="0" w:type="auto"/>
          </w:tcPr>
          <w:p w14:paraId="1671A2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F8E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There were no examples of discrimination, coercion, and/or harassment identified during the audit through staff, resident and whānau interviews, or in documentation reviewed. </w:t>
            </w:r>
          </w:p>
          <w:p w14:paraId="588130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Whānau, Enduring Power of Attorney (EPOA) and residents interviewed reported that their property is respected. Facility policy and processes ensure resident finances are protected and staff do not handle residents’ money. </w:t>
            </w:r>
          </w:p>
          <w:p w14:paraId="6F210827" w14:textId="77777777" w:rsidR="00000000" w:rsidRPr="00BE00C7" w:rsidRDefault="00000000" w:rsidP="00BE00C7">
            <w:pPr>
              <w:pStyle w:val="OutcomeDescription"/>
              <w:spacing w:before="120" w:after="120"/>
              <w:rPr>
                <w:rFonts w:cs="Arial"/>
                <w:lang w:eastAsia="en-NZ"/>
              </w:rPr>
            </w:pPr>
            <w:r w:rsidRPr="00BE00C7">
              <w:rPr>
                <w:rFonts w:cs="Arial"/>
                <w:lang w:eastAsia="en-NZ"/>
              </w:rPr>
              <w:t>Professional boundaries are maintained by staff.</w:t>
            </w:r>
          </w:p>
          <w:p w14:paraId="6142C504" w14:textId="77777777" w:rsidR="00000000" w:rsidRPr="00BE00C7" w:rsidRDefault="00000000" w:rsidP="00BE00C7">
            <w:pPr>
              <w:pStyle w:val="OutcomeDescription"/>
              <w:spacing w:before="120" w:after="120"/>
              <w:rPr>
                <w:rFonts w:cs="Arial"/>
                <w:lang w:eastAsia="en-NZ"/>
              </w:rPr>
            </w:pPr>
          </w:p>
        </w:tc>
      </w:tr>
      <w:tr w:rsidR="002B203D" w14:paraId="73DBFC68" w14:textId="77777777">
        <w:tc>
          <w:tcPr>
            <w:tcW w:w="0" w:type="auto"/>
          </w:tcPr>
          <w:p w14:paraId="12353F8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FD40B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4DA0E57" w14:textId="77777777" w:rsidR="00000000" w:rsidRPr="00BE00C7" w:rsidRDefault="00000000" w:rsidP="00BE00C7">
            <w:pPr>
              <w:pStyle w:val="OutcomeDescription"/>
              <w:spacing w:before="120" w:after="120"/>
              <w:rPr>
                <w:rFonts w:cs="Arial"/>
                <w:lang w:eastAsia="en-NZ"/>
              </w:rPr>
            </w:pPr>
          </w:p>
        </w:tc>
        <w:tc>
          <w:tcPr>
            <w:tcW w:w="0" w:type="auto"/>
          </w:tcPr>
          <w:p w14:paraId="5C64DC8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6CCE0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their legal representative are provided with the information necessary to make informed decisions in line with the Code. Those interviewed, including residents, EPOA and whānau, felt empowered to actively participate in decision-making.</w:t>
            </w:r>
          </w:p>
          <w:p w14:paraId="7D27E795"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Consents for agreement of care, and advance directives, including resuscitation, were sighted in the resident files, and the corrective action raised at the last audit is now closed.</w:t>
            </w:r>
          </w:p>
          <w:p w14:paraId="7EEC3C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at Princes Court have a documented EPOA or welfare guardian on file that has been activated by an appropriate medical practitioner. </w:t>
            </w:r>
          </w:p>
          <w:p w14:paraId="47DC167C"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observed obtaining verbal consents from residents prior to cares, and this was confirmed in resident and whānau/EPOA interviews.</w:t>
            </w:r>
          </w:p>
          <w:p w14:paraId="61577979" w14:textId="77777777" w:rsidR="00000000" w:rsidRPr="00BE00C7" w:rsidRDefault="00000000" w:rsidP="00BE00C7">
            <w:pPr>
              <w:pStyle w:val="OutcomeDescription"/>
              <w:spacing w:before="120" w:after="120"/>
              <w:rPr>
                <w:rFonts w:cs="Arial"/>
                <w:lang w:eastAsia="en-NZ"/>
              </w:rPr>
            </w:pPr>
          </w:p>
        </w:tc>
      </w:tr>
      <w:tr w:rsidR="002B203D" w14:paraId="19922E33" w14:textId="77777777">
        <w:tc>
          <w:tcPr>
            <w:tcW w:w="0" w:type="auto"/>
          </w:tcPr>
          <w:p w14:paraId="596F1FB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72156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4F3BEE2" w14:textId="77777777" w:rsidR="00000000" w:rsidRPr="00BE00C7" w:rsidRDefault="00000000" w:rsidP="00BE00C7">
            <w:pPr>
              <w:pStyle w:val="OutcomeDescription"/>
              <w:spacing w:before="120" w:after="120"/>
              <w:rPr>
                <w:rFonts w:cs="Arial"/>
                <w:lang w:eastAsia="en-NZ"/>
              </w:rPr>
            </w:pPr>
          </w:p>
        </w:tc>
        <w:tc>
          <w:tcPr>
            <w:tcW w:w="0" w:type="auto"/>
          </w:tcPr>
          <w:p w14:paraId="45EEC95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AE84A3"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of Health and Disability Services Consumers’ Rights (the Code). Residents and family/whānau understood their right to make a complaint and knew how to do so. Complaint forms and a box were at reception. The Code was available in te reo Māori and English.</w:t>
            </w:r>
          </w:p>
          <w:p w14:paraId="66235B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(CHM) is responsible for complaints management and follow-up, with oversight and support from the national quality manager as required. An electronic complaint register is maintained and showed that one complaint had been received since the last audit. This was an anonymous complaint, forwarded through a third party, which was being proactively managed in line with the requirements of the Code. Due to this being an anonymous complaint it was not possible for the HCM to advise the </w:t>
            </w:r>
            <w:r w:rsidRPr="00BE00C7">
              <w:rPr>
                <w:rFonts w:cs="Arial"/>
                <w:lang w:eastAsia="en-NZ"/>
              </w:rPr>
              <w:lastRenderedPageBreak/>
              <w:t xml:space="preserve">complainant of the actions taken or outcome the of the complaint. </w:t>
            </w:r>
          </w:p>
          <w:p w14:paraId="7574422A" w14:textId="77777777" w:rsidR="00000000" w:rsidRPr="00BE00C7" w:rsidRDefault="00000000" w:rsidP="00BE00C7">
            <w:pPr>
              <w:pStyle w:val="OutcomeDescription"/>
              <w:spacing w:before="120" w:after="120"/>
              <w:rPr>
                <w:rFonts w:cs="Arial"/>
                <w:lang w:eastAsia="en-NZ"/>
              </w:rPr>
            </w:pPr>
            <w:r w:rsidRPr="00BE00C7">
              <w:rPr>
                <w:rFonts w:cs="Arial"/>
                <w:lang w:eastAsia="en-NZ"/>
              </w:rPr>
              <w:t>No complaints have been received from the Health and Disability Commissioner, Te Whatu Ora – Health New Zealand Waitaha Canterbury or Manatū Hauroa since the last audit. The CHM reported, and documentation evidenced, that a translator who identified as Māori would be available to support people if needed. There have been no complaints received by Māori to date.</w:t>
            </w:r>
          </w:p>
          <w:p w14:paraId="081B477D" w14:textId="77777777" w:rsidR="00000000" w:rsidRPr="00BE00C7" w:rsidRDefault="00000000" w:rsidP="00BE00C7">
            <w:pPr>
              <w:pStyle w:val="OutcomeDescription"/>
              <w:spacing w:before="120" w:after="120"/>
              <w:rPr>
                <w:rFonts w:cs="Arial"/>
                <w:lang w:eastAsia="en-NZ"/>
              </w:rPr>
            </w:pPr>
          </w:p>
        </w:tc>
      </w:tr>
      <w:tr w:rsidR="002B203D" w14:paraId="017D5D07" w14:textId="77777777">
        <w:tc>
          <w:tcPr>
            <w:tcW w:w="0" w:type="auto"/>
          </w:tcPr>
          <w:p w14:paraId="18031F5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AD5102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AD9D566" w14:textId="77777777" w:rsidR="00000000" w:rsidRPr="00BE00C7" w:rsidRDefault="00000000" w:rsidP="00BE00C7">
            <w:pPr>
              <w:pStyle w:val="OutcomeDescription"/>
              <w:spacing w:before="120" w:after="120"/>
              <w:rPr>
                <w:rFonts w:cs="Arial"/>
                <w:lang w:eastAsia="en-NZ"/>
              </w:rPr>
            </w:pPr>
          </w:p>
        </w:tc>
        <w:tc>
          <w:tcPr>
            <w:tcW w:w="0" w:type="auto"/>
          </w:tcPr>
          <w:p w14:paraId="41DCA8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77A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Heritage Lifecare Limited (HLL) is the governing body for 42 aged care facilities across New Zealand.  A three-member board of directors is appointed by shareholders, who determine the skills required and the size of the board. Plans are in place for HLL’s existing CEO to become chairperson of the HLL board in the new year. Processes are in place to appoint a new CEO to lead HLL’s operations. </w:t>
            </w:r>
          </w:p>
          <w:p w14:paraId="706FE7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Heritage Lifecare has a legal team who monitor changes to legislative and clinical requirements and have access to domestic and international legal advice. Information garnered from these sources translates into policy and procedure. </w:t>
            </w:r>
          </w:p>
          <w:p w14:paraId="100503EB" w14:textId="77777777" w:rsidR="00000000" w:rsidRPr="00BE00C7" w:rsidRDefault="00000000"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incorporates the Ngā Paerewa Standard in relation to antimicrobial stewardship (AMS) and restraint elimination across ethnicity. Ethnicity data is collected to support equitable service delivery. Heritage Lifecare also utilises the skills of staff and senior managers and supports them in making sure barriers to equitable service delivery are surmounted.</w:t>
            </w:r>
          </w:p>
          <w:p w14:paraId="2B73FC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Princes Court’s business plan was sighted and is being reviewed by the current CHM, who is managing the facility until a new CHM starts in a few weeks’ time. The clinical team are guided by the clinical governance policy and the clinical services manager (CSM). The CSM has experience in the aged residential care sector and has been in the role for two weeks. They oversee clinical care, and monitor, discuss and report on clinical indicators, including medication errors, complaints, compliments, falls, pressure injuries and </w:t>
            </w:r>
            <w:r w:rsidRPr="00BE00C7">
              <w:rPr>
                <w:rFonts w:cs="Arial"/>
                <w:lang w:eastAsia="en-NZ"/>
              </w:rPr>
              <w:lastRenderedPageBreak/>
              <w:t>infections. A sample of their monthly reports were sighted.</w:t>
            </w:r>
          </w:p>
          <w:p w14:paraId="1B977D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Waitaha Canterbury to provide rest home level dementia care, respite care and long-term chronic health conditions care for up to 35 residents. Thirty-three residents were receiving services under the contracts on the day of the audit. There were 19 residents in the Long beach wing and 14 residents in the Hakatere wing. The thirty-three residents who were receiving rest home dementia care included one resident who was receiving services under long-term health conditions, and one resident under the respite care contract.</w:t>
            </w:r>
          </w:p>
          <w:p w14:paraId="1DB9F1C9" w14:textId="77777777" w:rsidR="00000000" w:rsidRPr="00BE00C7" w:rsidRDefault="00000000" w:rsidP="00BE00C7">
            <w:pPr>
              <w:pStyle w:val="OutcomeDescription"/>
              <w:spacing w:before="120" w:after="120"/>
              <w:rPr>
                <w:rFonts w:cs="Arial"/>
                <w:lang w:eastAsia="en-NZ"/>
              </w:rPr>
            </w:pPr>
          </w:p>
        </w:tc>
      </w:tr>
      <w:tr w:rsidR="002B203D" w14:paraId="6500B92E" w14:textId="77777777">
        <w:tc>
          <w:tcPr>
            <w:tcW w:w="0" w:type="auto"/>
          </w:tcPr>
          <w:p w14:paraId="416681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1472A4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D1205DB" w14:textId="77777777" w:rsidR="00000000" w:rsidRPr="00BE00C7" w:rsidRDefault="00000000" w:rsidP="00BE00C7">
            <w:pPr>
              <w:pStyle w:val="OutcomeDescription"/>
              <w:spacing w:before="120" w:after="120"/>
              <w:rPr>
                <w:rFonts w:cs="Arial"/>
                <w:lang w:eastAsia="en-NZ"/>
              </w:rPr>
            </w:pPr>
          </w:p>
        </w:tc>
        <w:tc>
          <w:tcPr>
            <w:tcW w:w="0" w:type="auto"/>
          </w:tcPr>
          <w:p w14:paraId="0777676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C74A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w:t>
            </w:r>
          </w:p>
          <w:p w14:paraId="1A92B59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family/whānau and staff contribute to quality improvement through meetings, surveys, using suggestion boxes or talking with the CHM.</w:t>
            </w:r>
          </w:p>
          <w:p w14:paraId="094CA0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internal audits schedule was sighted. Completed audits include cleaning, laundry, IP, kitchen, meal satisfaction, care planning and the environment. Internal audit results are reported at both the staff and quality meetings, and progress against quality outcomes is evaluated. Where required, corrective action plans were developed and evidence of these were sighted. Each corrective action plan included the area of focus, the improvement action required, the timeframe and the person responsible. Once the corrective action plan has been fully completed, it is signed off by the CHM to document that the issue has been resolved. </w:t>
            </w:r>
          </w:p>
          <w:p w14:paraId="5BC258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ensures staff can deliver high quality health care for Māori through, for example, training including cultural safety training, cultural assessments and care plans.</w:t>
            </w:r>
          </w:p>
          <w:p w14:paraId="49CFD9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CHM described the processes for the identification, documentation, monitoring, review and reporting of risks, including health and safety risks, and development of mitigation strategies. Staff reported at interview that they knew to report risks, and these were reviewed and discussed at staff meetings.  Staff document adverse and near-miss events in line with the National Adverse </w:t>
            </w:r>
            <w:r w:rsidRPr="00BE00C7">
              <w:rPr>
                <w:rFonts w:cs="Arial"/>
                <w:lang w:eastAsia="en-NZ"/>
              </w:rPr>
              <w:lastRenderedPageBreak/>
              <w:t>Events Reporting Policy. A sample of incidents forms reviewed showed these were fully completed, incidents were investigated, action plans developed, and actions followed up in a timely manner. Evidence was sighted that resident-related incidents are being disclosed with the designated next of kin.</w:t>
            </w:r>
          </w:p>
          <w:p w14:paraId="45DCE2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CHM and clinical service manager (CSM) understood and have complied with essential notification reporting requirements. The Section 31 notifications were sighted, including for the change of CSM and one for a viral outbreak. The CHM reported that there have been no police investigations, coroner’s inquests, issues-based audits or employment disputes since the previous audit.</w:t>
            </w:r>
          </w:p>
          <w:p w14:paraId="45FBB94E" w14:textId="77777777" w:rsidR="00000000" w:rsidRPr="00BE00C7" w:rsidRDefault="00000000" w:rsidP="00BE00C7">
            <w:pPr>
              <w:pStyle w:val="OutcomeDescription"/>
              <w:spacing w:before="120" w:after="120"/>
              <w:rPr>
                <w:rFonts w:cs="Arial"/>
                <w:lang w:eastAsia="en-NZ"/>
              </w:rPr>
            </w:pPr>
          </w:p>
        </w:tc>
      </w:tr>
      <w:tr w:rsidR="002B203D" w14:paraId="72600A4A" w14:textId="77777777">
        <w:tc>
          <w:tcPr>
            <w:tcW w:w="0" w:type="auto"/>
          </w:tcPr>
          <w:p w14:paraId="67CCFD5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3E20C8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ACA0F43" w14:textId="77777777" w:rsidR="00000000" w:rsidRPr="00BE00C7" w:rsidRDefault="00000000" w:rsidP="00BE00C7">
            <w:pPr>
              <w:pStyle w:val="OutcomeDescription"/>
              <w:spacing w:before="120" w:after="120"/>
              <w:rPr>
                <w:rFonts w:cs="Arial"/>
                <w:lang w:eastAsia="en-NZ"/>
              </w:rPr>
            </w:pPr>
          </w:p>
        </w:tc>
        <w:tc>
          <w:tcPr>
            <w:tcW w:w="0" w:type="auto"/>
          </w:tcPr>
          <w:p w14:paraId="04B82FE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1315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tool is used. The facility adjusts staffing levels to meet the changing needs of residents. </w:t>
            </w:r>
          </w:p>
          <w:p w14:paraId="5C1F3748" w14:textId="77777777" w:rsidR="00000000" w:rsidRPr="00BE00C7" w:rsidRDefault="00000000" w:rsidP="00BE00C7">
            <w:pPr>
              <w:pStyle w:val="OutcomeDescription"/>
              <w:spacing w:before="120" w:after="120"/>
              <w:rPr>
                <w:rFonts w:cs="Arial"/>
                <w:lang w:eastAsia="en-NZ"/>
              </w:rPr>
            </w:pPr>
            <w:r w:rsidRPr="00BE00C7">
              <w:rPr>
                <w:rFonts w:cs="Arial"/>
                <w:lang w:eastAsia="en-NZ"/>
              </w:rPr>
              <w:t>A review of the fortnightly rosters confirmed adequate staff cover, with any unplanned absences covered by the service’s own casual or permanent staff. Residents, family/whānau and staff interviewed confirmed there were sufficient staff.</w:t>
            </w:r>
          </w:p>
          <w:p w14:paraId="3498B5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currently managed by a relieving CHM, who has worked at this facility for seven weeks. This person has six years’ experience as a relieving CHM, and 30 years as a registered nurse (RN). A new CHM has been appointed and is due to start in two weeks’ time. The CHM is supported by the CSM, who is an experienced RN, and commenced in the role two weeks ago. The CHM and the CSM share responsibilities with another local HLL facility. The CHM and the CSM share on-call. Staff reported that good access to advice is available when needed.   </w:t>
            </w:r>
          </w:p>
          <w:p w14:paraId="616E27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a registered nurse available onsite during weekdays, with (RN) support available 24/7 from another local HLL facility. </w:t>
            </w:r>
          </w:p>
          <w:p w14:paraId="59FD7F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CHM described the recruitment process, which includes referee checks, police vetting, and validation of qualifications and annual practicing certificates (APCs) where required.  </w:t>
            </w:r>
          </w:p>
          <w:p w14:paraId="6D159A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w:t>
            </w:r>
            <w:r w:rsidRPr="00BE00C7">
              <w:rPr>
                <w:rFonts w:cs="Arial"/>
                <w:lang w:eastAsia="en-NZ"/>
              </w:rPr>
              <w:lastRenderedPageBreak/>
              <w:t>training requirements.  Related competencies are assessed and support equitable service delivery. Records reviewed demonstrated completion of the required training and competency assessments, and the corrective action raised at the last audit is now closed. Staff hold level three and level four New Zealand Qualification Authority (NZQA) education qualifications and have completed or commenced the required dementia training to meet the requirements of the provider’s agreement with Te Whatu Ora.</w:t>
            </w:r>
          </w:p>
          <w:p w14:paraId="70E09278" w14:textId="77777777" w:rsidR="00000000" w:rsidRPr="00BE00C7" w:rsidRDefault="00000000" w:rsidP="00BE00C7">
            <w:pPr>
              <w:pStyle w:val="OutcomeDescription"/>
              <w:spacing w:before="120" w:after="120"/>
              <w:rPr>
                <w:rFonts w:cs="Arial"/>
                <w:lang w:eastAsia="en-NZ"/>
              </w:rPr>
            </w:pPr>
          </w:p>
        </w:tc>
      </w:tr>
      <w:tr w:rsidR="002B203D" w14:paraId="5D9940D4" w14:textId="77777777">
        <w:tc>
          <w:tcPr>
            <w:tcW w:w="0" w:type="auto"/>
          </w:tcPr>
          <w:p w14:paraId="6977AD1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2F3867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1E4CE84" w14:textId="77777777" w:rsidR="00000000" w:rsidRPr="00BE00C7" w:rsidRDefault="00000000" w:rsidP="00BE00C7">
            <w:pPr>
              <w:pStyle w:val="OutcomeDescription"/>
              <w:spacing w:before="120" w:after="120"/>
              <w:rPr>
                <w:rFonts w:cs="Arial"/>
                <w:lang w:eastAsia="en-NZ"/>
              </w:rPr>
            </w:pPr>
          </w:p>
        </w:tc>
        <w:tc>
          <w:tcPr>
            <w:tcW w:w="0" w:type="auto"/>
          </w:tcPr>
          <w:p w14:paraId="61D3527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30FF8D4"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CHM described the procedure to ensure professional qualifications are validated prior to employment.  A sample of staff records reviewed confirmed the organisation’s policies are being consistently implemented, including evidence of qualifications and registrations. Annual practicing certificates sighted were current.</w:t>
            </w:r>
          </w:p>
          <w:p w14:paraId="16C97C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 orientation process prepared them well for their role.  New caregivers described their orientation and that they are buddied with an experienced staff member for up to one week. From the review of staff files, four of the seven files reviewed did not contain any evidence that these employees had completed an orientation process; refer criterion 2.4.4.  </w:t>
            </w:r>
          </w:p>
          <w:p w14:paraId="4AC22597"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Policy requires that staff have their performance appraised by their manager annually. The review of staff files showed that only half of staff have had a performance review completed in the last year; refer criterion 2.4.5. The CHM was aware that performance appraisals were overdue and had a corrective action plan in place while the issue was being addressed.</w:t>
            </w:r>
          </w:p>
          <w:p w14:paraId="1528E9AD" w14:textId="77777777" w:rsidR="00000000" w:rsidRPr="00BE00C7" w:rsidRDefault="00000000" w:rsidP="00BE00C7">
            <w:pPr>
              <w:pStyle w:val="OutcomeDescription"/>
              <w:spacing w:before="120" w:after="120"/>
              <w:rPr>
                <w:rFonts w:cs="Arial"/>
                <w:lang w:eastAsia="en-NZ"/>
              </w:rPr>
            </w:pPr>
          </w:p>
        </w:tc>
      </w:tr>
      <w:tr w:rsidR="002B203D" w14:paraId="30BAF2D4" w14:textId="77777777">
        <w:tc>
          <w:tcPr>
            <w:tcW w:w="0" w:type="auto"/>
          </w:tcPr>
          <w:p w14:paraId="5B58DA9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AC670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sufficient, secure, accessible, and </w:t>
            </w:r>
            <w:r w:rsidRPr="00BE00C7">
              <w:rPr>
                <w:rFonts w:cs="Arial"/>
                <w:lang w:eastAsia="en-NZ"/>
              </w:rPr>
              <w:lastRenderedPageBreak/>
              <w:t>confidential.</w:t>
            </w:r>
          </w:p>
          <w:p w14:paraId="29DAA20F" w14:textId="77777777" w:rsidR="00000000" w:rsidRPr="00BE00C7" w:rsidRDefault="00000000" w:rsidP="00BE00C7">
            <w:pPr>
              <w:pStyle w:val="OutcomeDescription"/>
              <w:spacing w:before="120" w:after="120"/>
              <w:rPr>
                <w:rFonts w:cs="Arial"/>
                <w:lang w:eastAsia="en-NZ"/>
              </w:rPr>
            </w:pPr>
          </w:p>
        </w:tc>
        <w:tc>
          <w:tcPr>
            <w:tcW w:w="0" w:type="auto"/>
          </w:tcPr>
          <w:p w14:paraId="4387D2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9C6875" w14:textId="77777777" w:rsidR="00000000"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Information is accessible for all those who need it. The corrective action request raised under criterion 2.5.1 at the last audit in relation to documentation in resident files is now closed.</w:t>
            </w:r>
          </w:p>
          <w:p w14:paraId="27603416" w14:textId="77777777" w:rsidR="00000000" w:rsidRPr="00BE00C7" w:rsidRDefault="00000000" w:rsidP="00BE00C7">
            <w:pPr>
              <w:pStyle w:val="OutcomeDescription"/>
              <w:spacing w:before="120" w:after="120"/>
              <w:rPr>
                <w:rFonts w:cs="Arial"/>
                <w:lang w:eastAsia="en-NZ"/>
              </w:rPr>
            </w:pPr>
          </w:p>
        </w:tc>
      </w:tr>
      <w:tr w:rsidR="002B203D" w14:paraId="2B79AA71" w14:textId="77777777">
        <w:tc>
          <w:tcPr>
            <w:tcW w:w="0" w:type="auto"/>
          </w:tcPr>
          <w:p w14:paraId="0F0289C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F6B89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B8DA684" w14:textId="77777777" w:rsidR="00000000" w:rsidRPr="00BE00C7" w:rsidRDefault="00000000" w:rsidP="00BE00C7">
            <w:pPr>
              <w:pStyle w:val="OutcomeDescription"/>
              <w:spacing w:before="120" w:after="120"/>
              <w:rPr>
                <w:rFonts w:cs="Arial"/>
                <w:lang w:eastAsia="en-NZ"/>
              </w:rPr>
            </w:pPr>
          </w:p>
        </w:tc>
        <w:tc>
          <w:tcPr>
            <w:tcW w:w="0" w:type="auto"/>
          </w:tcPr>
          <w:p w14:paraId="5439C26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6E31E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Princes Court Lifecare work in partnership with the resident and whānau to support wellbeing.  Five resident files were reviewed and verified that a registered nurse develops a plan of care to suit the residents’ needs following a comprehensive assessment. Assessments were based on a range of clinical assessments, including consideration of the person’s lived experience, cultural needs, values and beliefs, and which included wider service integration, where required.</w:t>
            </w:r>
          </w:p>
          <w:p w14:paraId="12210886" w14:textId="77777777" w:rsidR="00000000" w:rsidRPr="00BE00C7" w:rsidRDefault="00000000" w:rsidP="00BE00C7">
            <w:pPr>
              <w:pStyle w:val="OutcomeDescription"/>
              <w:spacing w:before="120" w:after="120"/>
              <w:rPr>
                <w:rFonts w:cs="Arial"/>
                <w:lang w:eastAsia="en-NZ"/>
              </w:rPr>
            </w:pPr>
            <w:r w:rsidRPr="00BE00C7">
              <w:rPr>
                <w:rFonts w:cs="Arial"/>
                <w:lang w:eastAsia="en-NZ"/>
              </w:rPr>
              <w:t>Assessments included resident and whānau input (as applicable). Timeframes for the initial assessment, initial care plan, long-term care plan, short-term care plans, and review/evaluation met contractual requirements. Care plans reviewed identified residents' individual needs, including cultural and spiritual needs, behavioural triggers and de-escalational or support strategies appropriate to the resident; the recommendation made under criterion 3.2.3 at the previous audit is now closed. However, not all residents were reviewed by a general or nurse practitioner within the contractually required timeframes following admission; refer criterion 3.2.1.</w:t>
            </w:r>
          </w:p>
          <w:p w14:paraId="1850A7B1"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Short-term care plans were developed, if necessary, and examples were sighted for infections and wound care. These are reviewed weekly, or earlier if clinically indicated. Where progress was different from that expected, changes were made to the care plan in collaboration with the resident and/or whānau. The EPOA or welfare guardian is involved at every step of the assessment, care planning and review process for residents. Those interviewed confirmed active involvement, including for residents with a disability.</w:t>
            </w:r>
          </w:p>
          <w:p w14:paraId="693DEED1" w14:textId="77777777" w:rsidR="00000000" w:rsidRPr="00BE00C7" w:rsidRDefault="00000000" w:rsidP="00BE00C7">
            <w:pPr>
              <w:pStyle w:val="OutcomeDescription"/>
              <w:spacing w:before="120" w:after="120"/>
              <w:rPr>
                <w:rFonts w:cs="Arial"/>
                <w:lang w:eastAsia="en-NZ"/>
              </w:rPr>
            </w:pPr>
            <w:r w:rsidRPr="00BE00C7">
              <w:rPr>
                <w:rFonts w:cs="Arial"/>
                <w:lang w:eastAsia="en-NZ"/>
              </w:rPr>
              <w:t>When a resident’s needs change and Princes Court is no longer able to provide the level of care they require, for example, when a resident requires hospital level care, referral is made to the NASC for reassessment of needs and the EPOA and whānau assisted to find an appropriate facility. Examples of this occurring appropriately were discussed, and the general practitioner confirmed nurses identify when a resident’s needs change and they are called appropriately when needed.</w:t>
            </w:r>
          </w:p>
          <w:p w14:paraId="07FFA6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understood the need for residents and whānau, including Māori, to have input into their care and identify their own goals or outcomes. Nursing and medical review occurs, with resident and whānau input when possible. Residents and whānau are given choices and staff ensure they have access to information.  </w:t>
            </w:r>
          </w:p>
          <w:p w14:paraId="0F78E1C3" w14:textId="77777777" w:rsidR="00000000" w:rsidRPr="00BE00C7" w:rsidRDefault="00000000" w:rsidP="00B60DAB">
            <w:pPr>
              <w:pStyle w:val="OutcomeDescription"/>
              <w:spacing w:before="120" w:after="120"/>
              <w:rPr>
                <w:rFonts w:cs="Arial"/>
                <w:lang w:eastAsia="en-NZ"/>
              </w:rPr>
            </w:pPr>
          </w:p>
        </w:tc>
      </w:tr>
      <w:tr w:rsidR="002B203D" w14:paraId="17EC7CEA" w14:textId="77777777">
        <w:tc>
          <w:tcPr>
            <w:tcW w:w="0" w:type="auto"/>
          </w:tcPr>
          <w:p w14:paraId="758C78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8EA7E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7108539" w14:textId="77777777" w:rsidR="00000000" w:rsidRPr="00BE00C7" w:rsidRDefault="00000000" w:rsidP="00BE00C7">
            <w:pPr>
              <w:pStyle w:val="OutcomeDescription"/>
              <w:spacing w:before="120" w:after="120"/>
              <w:rPr>
                <w:rFonts w:cs="Arial"/>
                <w:lang w:eastAsia="en-NZ"/>
              </w:rPr>
            </w:pPr>
          </w:p>
        </w:tc>
        <w:tc>
          <w:tcPr>
            <w:tcW w:w="0" w:type="auto"/>
          </w:tcPr>
          <w:p w14:paraId="5FD3BF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611C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w:t>
            </w:r>
          </w:p>
          <w:p w14:paraId="7D92A3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are stored safely, including controlled drugs. The required stock checks have been completed. Medicines stored were within the recommended temperature range. </w:t>
            </w:r>
          </w:p>
          <w:p w14:paraId="7D9631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general or nurse practitioner review was consistently recorded on the medicine chart. </w:t>
            </w:r>
          </w:p>
          <w:p w14:paraId="06050F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used. </w:t>
            </w:r>
          </w:p>
          <w:p w14:paraId="0B2CF44F" w14:textId="77777777" w:rsidR="00000000" w:rsidRPr="00BE00C7" w:rsidRDefault="00000000" w:rsidP="00BE00C7">
            <w:pPr>
              <w:pStyle w:val="OutcomeDescription"/>
              <w:spacing w:before="120" w:after="120"/>
              <w:rPr>
                <w:rFonts w:cs="Arial"/>
                <w:lang w:eastAsia="en-NZ"/>
              </w:rPr>
            </w:pPr>
            <w:r w:rsidRPr="00BE00C7">
              <w:rPr>
                <w:rFonts w:cs="Arial"/>
                <w:lang w:eastAsia="en-NZ"/>
              </w:rPr>
              <w:t>No residents were self-administering medications at the time of audit. The registered nurse confirmed this did not occur in the secure dementia unit.</w:t>
            </w:r>
          </w:p>
          <w:p w14:paraId="56A520E9" w14:textId="77777777" w:rsidR="00000000" w:rsidRPr="00BE00C7" w:rsidRDefault="00000000" w:rsidP="00BE00C7">
            <w:pPr>
              <w:pStyle w:val="OutcomeDescription"/>
              <w:spacing w:before="120" w:after="120"/>
              <w:rPr>
                <w:rFonts w:cs="Arial"/>
                <w:lang w:eastAsia="en-NZ"/>
              </w:rPr>
            </w:pPr>
          </w:p>
        </w:tc>
      </w:tr>
      <w:tr w:rsidR="002B203D" w14:paraId="3D3BEE18" w14:textId="77777777">
        <w:tc>
          <w:tcPr>
            <w:tcW w:w="0" w:type="auto"/>
          </w:tcPr>
          <w:p w14:paraId="6680D08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6CDD69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w:t>
            </w:r>
            <w:r w:rsidRPr="00BE00C7">
              <w:rPr>
                <w:rFonts w:cs="Arial"/>
                <w:lang w:eastAsia="en-NZ"/>
              </w:rPr>
              <w:lastRenderedPageBreak/>
              <w:t>health and wellbeing.</w:t>
            </w:r>
          </w:p>
          <w:p w14:paraId="51AE3420" w14:textId="77777777" w:rsidR="00000000" w:rsidRPr="00BE00C7" w:rsidRDefault="00000000" w:rsidP="00BE00C7">
            <w:pPr>
              <w:pStyle w:val="OutcomeDescription"/>
              <w:spacing w:before="120" w:after="120"/>
              <w:rPr>
                <w:rFonts w:cs="Arial"/>
                <w:lang w:eastAsia="en-NZ"/>
              </w:rPr>
            </w:pPr>
          </w:p>
        </w:tc>
        <w:tc>
          <w:tcPr>
            <w:tcW w:w="0" w:type="auto"/>
          </w:tcPr>
          <w:p w14:paraId="23127E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86FF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older persons, taking into consideration the dietary needs, intolerances and food and cultural preferences of those using the service.  Evidence of resident satisfaction with meals was verified from residents and whānau interviews, satisfaction surveys and resident meeting minutes.</w:t>
            </w:r>
          </w:p>
          <w:p w14:paraId="30F31E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current registration.</w:t>
            </w:r>
          </w:p>
          <w:p w14:paraId="79E584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Snacks such as sandwiches, fruit, biscuits and drinks are available 24 hours a </w:t>
            </w:r>
            <w:r w:rsidRPr="00BE00C7">
              <w:rPr>
                <w:rFonts w:cs="Arial"/>
                <w:lang w:eastAsia="en-NZ"/>
              </w:rPr>
              <w:lastRenderedPageBreak/>
              <w:t>day for residents.</w:t>
            </w:r>
          </w:p>
          <w:p w14:paraId="7528E73C" w14:textId="77777777" w:rsidR="00000000" w:rsidRPr="00BE00C7" w:rsidRDefault="00000000" w:rsidP="00BE00C7">
            <w:pPr>
              <w:pStyle w:val="OutcomeDescription"/>
              <w:spacing w:before="120" w:after="120"/>
              <w:rPr>
                <w:rFonts w:cs="Arial"/>
                <w:lang w:eastAsia="en-NZ"/>
              </w:rPr>
            </w:pPr>
          </w:p>
        </w:tc>
      </w:tr>
      <w:tr w:rsidR="002B203D" w14:paraId="47FFF955" w14:textId="77777777">
        <w:tc>
          <w:tcPr>
            <w:tcW w:w="0" w:type="auto"/>
          </w:tcPr>
          <w:p w14:paraId="3F29ED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69A7E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FEC8048" w14:textId="77777777" w:rsidR="00000000" w:rsidRPr="00BE00C7" w:rsidRDefault="00000000" w:rsidP="00BE00C7">
            <w:pPr>
              <w:pStyle w:val="OutcomeDescription"/>
              <w:spacing w:before="120" w:after="120"/>
              <w:rPr>
                <w:rFonts w:cs="Arial"/>
                <w:lang w:eastAsia="en-NZ"/>
              </w:rPr>
            </w:pPr>
          </w:p>
        </w:tc>
        <w:tc>
          <w:tcPr>
            <w:tcW w:w="0" w:type="auto"/>
          </w:tcPr>
          <w:p w14:paraId="1F020C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B94703"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and EPOA reported being kept well informed during the transfer of their relative.</w:t>
            </w:r>
          </w:p>
          <w:p w14:paraId="5AE616A7" w14:textId="77777777" w:rsidR="00000000" w:rsidRPr="00BE00C7" w:rsidRDefault="00000000" w:rsidP="00BE00C7">
            <w:pPr>
              <w:pStyle w:val="OutcomeDescription"/>
              <w:spacing w:before="120" w:after="120"/>
              <w:rPr>
                <w:rFonts w:cs="Arial"/>
                <w:lang w:eastAsia="en-NZ"/>
              </w:rPr>
            </w:pPr>
          </w:p>
        </w:tc>
      </w:tr>
      <w:tr w:rsidR="002B203D" w14:paraId="44CEBFCE" w14:textId="77777777">
        <w:tc>
          <w:tcPr>
            <w:tcW w:w="0" w:type="auto"/>
          </w:tcPr>
          <w:p w14:paraId="420D049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8764F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DE04CBB" w14:textId="77777777" w:rsidR="00000000" w:rsidRPr="00BE00C7" w:rsidRDefault="00000000" w:rsidP="00BE00C7">
            <w:pPr>
              <w:pStyle w:val="OutcomeDescription"/>
              <w:spacing w:before="120" w:after="120"/>
              <w:rPr>
                <w:rFonts w:cs="Arial"/>
                <w:lang w:eastAsia="en-NZ"/>
              </w:rPr>
            </w:pPr>
          </w:p>
        </w:tc>
        <w:tc>
          <w:tcPr>
            <w:tcW w:w="0" w:type="auto"/>
          </w:tcPr>
          <w:p w14:paraId="60EC72E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01FB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electrical and bio-medical testing, and hot water temperatures. </w:t>
            </w:r>
          </w:p>
          <w:p w14:paraId="69281A3C"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they knew the processes they should follow if any repairs or maintenance are required. Spaces were culturally inclusive and suited the needs of the resident groups.  Residents, staff and family/whānau were happy with the environment, including heating and ventilation, natural light, privacy, maintenance and outdoor garden areas.</w:t>
            </w:r>
          </w:p>
          <w:p w14:paraId="42835E8B" w14:textId="77777777" w:rsidR="00000000" w:rsidRPr="00BE00C7" w:rsidRDefault="00000000" w:rsidP="00BE00C7">
            <w:pPr>
              <w:pStyle w:val="OutcomeDescription"/>
              <w:spacing w:before="120" w:after="120"/>
              <w:rPr>
                <w:rFonts w:cs="Arial"/>
                <w:lang w:eastAsia="en-NZ"/>
              </w:rPr>
            </w:pPr>
          </w:p>
        </w:tc>
      </w:tr>
      <w:tr w:rsidR="002B203D" w14:paraId="0123A04D" w14:textId="77777777">
        <w:tc>
          <w:tcPr>
            <w:tcW w:w="0" w:type="auto"/>
          </w:tcPr>
          <w:p w14:paraId="4AA11C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1C96C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74EB9B9" w14:textId="77777777" w:rsidR="00000000" w:rsidRPr="00BE00C7" w:rsidRDefault="00000000" w:rsidP="00BE00C7">
            <w:pPr>
              <w:pStyle w:val="OutcomeDescription"/>
              <w:spacing w:before="120" w:after="120"/>
              <w:rPr>
                <w:rFonts w:cs="Arial"/>
                <w:lang w:eastAsia="en-NZ"/>
              </w:rPr>
            </w:pPr>
          </w:p>
        </w:tc>
        <w:tc>
          <w:tcPr>
            <w:tcW w:w="0" w:type="auto"/>
          </w:tcPr>
          <w:p w14:paraId="3237BFC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C614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(IPCC), who is a registered nurse, is responsible for overseeing and implementing the IP programme, which has been developed by those with IP expertise and approved by the Heritage Lifecare Limited governance body. The programme is linked to the quality improvement programme and is reviewed and reported on annually. </w:t>
            </w:r>
            <w:r w:rsidRPr="00BE00C7">
              <w:rPr>
                <w:rFonts w:cs="Arial"/>
                <w:lang w:eastAsia="en-NZ"/>
              </w:rPr>
              <w:lastRenderedPageBreak/>
              <w:t xml:space="preserve">This was confirmed by the IPCC and review of the programme documentation. </w:t>
            </w:r>
          </w:p>
          <w:p w14:paraId="0D03FA5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were educated about infection prevention in a manner that meets their needs.</w:t>
            </w:r>
          </w:p>
          <w:p w14:paraId="6CA70D87" w14:textId="77777777" w:rsidR="00000000" w:rsidRPr="00BE00C7" w:rsidRDefault="00000000" w:rsidP="00BE00C7">
            <w:pPr>
              <w:pStyle w:val="OutcomeDescription"/>
              <w:spacing w:before="120" w:after="120"/>
              <w:rPr>
                <w:rFonts w:cs="Arial"/>
                <w:lang w:eastAsia="en-NZ"/>
              </w:rPr>
            </w:pPr>
          </w:p>
          <w:p w14:paraId="5FBEE9E7" w14:textId="77777777" w:rsidR="00000000" w:rsidRPr="00BE00C7" w:rsidRDefault="00000000" w:rsidP="00BE00C7">
            <w:pPr>
              <w:pStyle w:val="OutcomeDescription"/>
              <w:spacing w:before="120" w:after="120"/>
              <w:rPr>
                <w:rFonts w:cs="Arial"/>
                <w:lang w:eastAsia="en-NZ"/>
              </w:rPr>
            </w:pPr>
            <w:r w:rsidRPr="00BE00C7">
              <w:rPr>
                <w:rFonts w:cs="Arial"/>
                <w:lang w:eastAsia="en-NZ"/>
              </w:rPr>
              <w:t>Single use items are no longer reused; the recommendation raised under 5.2.11 at the previous audit is now closed.</w:t>
            </w:r>
          </w:p>
          <w:p w14:paraId="3A20387B" w14:textId="77777777" w:rsidR="00000000" w:rsidRPr="00BE00C7" w:rsidRDefault="00000000" w:rsidP="00BE00C7">
            <w:pPr>
              <w:pStyle w:val="OutcomeDescription"/>
              <w:spacing w:before="120" w:after="120"/>
              <w:rPr>
                <w:rFonts w:cs="Arial"/>
                <w:lang w:eastAsia="en-NZ"/>
              </w:rPr>
            </w:pPr>
          </w:p>
        </w:tc>
      </w:tr>
      <w:tr w:rsidR="002B203D" w14:paraId="39811424" w14:textId="77777777">
        <w:tc>
          <w:tcPr>
            <w:tcW w:w="0" w:type="auto"/>
          </w:tcPr>
          <w:p w14:paraId="4EC966B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F7746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DD52913" w14:textId="77777777" w:rsidR="00000000" w:rsidRPr="00BE00C7" w:rsidRDefault="00000000" w:rsidP="00BE00C7">
            <w:pPr>
              <w:pStyle w:val="OutcomeDescription"/>
              <w:spacing w:before="120" w:after="120"/>
              <w:rPr>
                <w:rFonts w:cs="Arial"/>
                <w:lang w:eastAsia="en-NZ"/>
              </w:rPr>
            </w:pPr>
          </w:p>
        </w:tc>
        <w:tc>
          <w:tcPr>
            <w:tcW w:w="0" w:type="auto"/>
          </w:tcPr>
          <w:p w14:paraId="35958C3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3079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Benchmarking with other facilities in the Heritage group occurs.  Results of the surveillance programme are reported to management and shared with staff. </w:t>
            </w:r>
          </w:p>
          <w:p w14:paraId="6FB643E4" w14:textId="77777777" w:rsidR="00000000" w:rsidRPr="00BE00C7" w:rsidRDefault="00000000" w:rsidP="00BE00C7">
            <w:pPr>
              <w:pStyle w:val="OutcomeDescription"/>
              <w:spacing w:before="120" w:after="120"/>
              <w:rPr>
                <w:rFonts w:cs="Arial"/>
                <w:lang w:eastAsia="en-NZ"/>
              </w:rPr>
            </w:pPr>
            <w:r w:rsidRPr="00BE00C7">
              <w:rPr>
                <w:rFonts w:cs="Arial"/>
                <w:lang w:eastAsia="en-NZ"/>
              </w:rPr>
              <w:t>A summary report for a recent infection outbreak was reviewed, and it demonstrated a thorough process for investigation and follow-up. Learnings from the event have now been incorporated into practice.</w:t>
            </w:r>
          </w:p>
          <w:p w14:paraId="3E576316" w14:textId="77777777" w:rsidR="00000000" w:rsidRPr="00BE00C7" w:rsidRDefault="00000000" w:rsidP="00BE00C7">
            <w:pPr>
              <w:pStyle w:val="OutcomeDescription"/>
              <w:spacing w:before="120" w:after="120"/>
              <w:rPr>
                <w:rFonts w:cs="Arial"/>
                <w:lang w:eastAsia="en-NZ"/>
              </w:rPr>
            </w:pPr>
          </w:p>
        </w:tc>
      </w:tr>
      <w:tr w:rsidR="002B203D" w14:paraId="45C2784C" w14:textId="77777777">
        <w:tc>
          <w:tcPr>
            <w:tcW w:w="0" w:type="auto"/>
          </w:tcPr>
          <w:p w14:paraId="27EE780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28075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533DC3E" w14:textId="77777777" w:rsidR="00000000" w:rsidRPr="00BE00C7" w:rsidRDefault="00000000" w:rsidP="00BE00C7">
            <w:pPr>
              <w:pStyle w:val="OutcomeDescription"/>
              <w:spacing w:before="120" w:after="120"/>
              <w:rPr>
                <w:rFonts w:cs="Arial"/>
                <w:lang w:eastAsia="en-NZ"/>
              </w:rPr>
            </w:pPr>
          </w:p>
        </w:tc>
        <w:tc>
          <w:tcPr>
            <w:tcW w:w="0" w:type="auto"/>
          </w:tcPr>
          <w:p w14:paraId="0194F4C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7FD80D" w14:textId="77777777" w:rsidR="00000000"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through documented policy and regular reporting requirements. The clinical advisory group (CAG) monitors the use of restraint across the organisation and is chaired by one of the organisation’s regional managers, who has responsibility for ensuring that restraint minimisation is achieved.</w:t>
            </w:r>
          </w:p>
          <w:p w14:paraId="25904F6E"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audit, there was no restraint in use.  Staff reported, and documentation evidenced, that staff have been trained in the least restrictive practice, safe restraint practice, alternative cultural-specific interventions, and de-escalation techniques.</w:t>
            </w:r>
          </w:p>
          <w:p w14:paraId="2C43F2B3" w14:textId="77777777" w:rsidR="00000000" w:rsidRPr="00BE00C7" w:rsidRDefault="00000000" w:rsidP="00BE00C7">
            <w:pPr>
              <w:pStyle w:val="OutcomeDescription"/>
              <w:spacing w:before="120" w:after="120"/>
              <w:rPr>
                <w:rFonts w:cs="Arial"/>
                <w:lang w:eastAsia="en-NZ"/>
              </w:rPr>
            </w:pPr>
          </w:p>
        </w:tc>
      </w:tr>
    </w:tbl>
    <w:p w14:paraId="6A6823C9" w14:textId="77777777" w:rsidR="00000000" w:rsidRDefault="00000000">
      <w:pPr>
        <w:pStyle w:val="Heading1"/>
        <w:rPr>
          <w:rFonts w:cs="Arial"/>
        </w:rPr>
      </w:pPr>
      <w:bookmarkStart w:id="56" w:name="AuditSummaryAttainment"/>
      <w:bookmarkEnd w:id="56"/>
      <w:r>
        <w:rPr>
          <w:rFonts w:cs="Arial"/>
        </w:rPr>
        <w:lastRenderedPageBreak/>
        <w:t xml:space="preserve">Specific results for criterion where corrective actions are </w:t>
      </w:r>
      <w:proofErr w:type="gramStart"/>
      <w:r>
        <w:rPr>
          <w:rFonts w:cs="Arial"/>
        </w:rPr>
        <w:t>required</w:t>
      </w:r>
      <w:proofErr w:type="gramEnd"/>
    </w:p>
    <w:p w14:paraId="3831CB35"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94D8D6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F3606B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317"/>
        <w:gridCol w:w="4010"/>
        <w:gridCol w:w="2889"/>
        <w:gridCol w:w="3134"/>
      </w:tblGrid>
      <w:tr w:rsidR="002B203D" w14:paraId="23E4EBC1" w14:textId="77777777">
        <w:tc>
          <w:tcPr>
            <w:tcW w:w="0" w:type="auto"/>
          </w:tcPr>
          <w:p w14:paraId="36ABE4E8"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7976F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D6B88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71ED2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AA4EB5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203D" w14:paraId="6013F4AA" w14:textId="77777777">
        <w:tc>
          <w:tcPr>
            <w:tcW w:w="0" w:type="auto"/>
          </w:tcPr>
          <w:p w14:paraId="203516D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2.4.4</w:t>
            </w:r>
          </w:p>
          <w:p w14:paraId="2FBB0EA1"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62CF10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26AE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From the review of staff files and electronic records, four of the seven people whose information was reviewed did not have a record that they had completed an induction and orientation programme when they commenced their employment with HLL. While the manager and staff were able to outline the organisation’s induction and orientation process, they were unable to evidence that these staff had completed the process.  </w:t>
            </w:r>
          </w:p>
          <w:p w14:paraId="67F77C87" w14:textId="77777777" w:rsidR="00000000" w:rsidRPr="00BE00C7" w:rsidRDefault="00000000" w:rsidP="00BE00C7">
            <w:pPr>
              <w:pStyle w:val="OutcomeDescription"/>
              <w:spacing w:before="120" w:after="120"/>
              <w:rPr>
                <w:rFonts w:cs="Arial"/>
                <w:lang w:eastAsia="en-NZ"/>
              </w:rPr>
            </w:pPr>
          </w:p>
        </w:tc>
        <w:tc>
          <w:tcPr>
            <w:tcW w:w="0" w:type="auto"/>
          </w:tcPr>
          <w:p w14:paraId="1C7138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no documented record to evidence that each employee had completed an induction and orientation programme relevant to their role, at the commencement of their employment.</w:t>
            </w:r>
          </w:p>
          <w:p w14:paraId="3E93A6E8" w14:textId="77777777" w:rsidR="00000000" w:rsidRPr="00BE00C7" w:rsidRDefault="00000000" w:rsidP="00BE00C7">
            <w:pPr>
              <w:pStyle w:val="OutcomeDescription"/>
              <w:spacing w:before="120" w:after="120"/>
              <w:rPr>
                <w:rFonts w:cs="Arial"/>
                <w:lang w:eastAsia="en-NZ"/>
              </w:rPr>
            </w:pPr>
          </w:p>
        </w:tc>
        <w:tc>
          <w:tcPr>
            <w:tcW w:w="0" w:type="auto"/>
          </w:tcPr>
          <w:p w14:paraId="4176EDC5"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all staff complete an induction and orientation programme, relevant to their role, at the commencement of their employment, and that evidence of the completion of this programme is recorded on the employee’s file.</w:t>
            </w:r>
          </w:p>
          <w:p w14:paraId="0A8C7018" w14:textId="77777777" w:rsidR="00000000" w:rsidRPr="00BE00C7" w:rsidRDefault="00000000" w:rsidP="00BE00C7">
            <w:pPr>
              <w:pStyle w:val="OutcomeDescription"/>
              <w:spacing w:before="120" w:after="120"/>
              <w:rPr>
                <w:rFonts w:cs="Arial"/>
                <w:lang w:eastAsia="en-NZ"/>
              </w:rPr>
            </w:pPr>
          </w:p>
          <w:p w14:paraId="48B4EDCF"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B203D" w14:paraId="41938FB9" w14:textId="77777777">
        <w:tc>
          <w:tcPr>
            <w:tcW w:w="0" w:type="auto"/>
          </w:tcPr>
          <w:p w14:paraId="789E0F1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2.4.5</w:t>
            </w:r>
          </w:p>
          <w:p w14:paraId="62B711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review performance at </w:t>
            </w:r>
            <w:r w:rsidRPr="00BE00C7">
              <w:rPr>
                <w:rFonts w:cs="Arial"/>
                <w:lang w:eastAsia="en-NZ"/>
              </w:rPr>
              <w:lastRenderedPageBreak/>
              <w:t>defined intervals.</w:t>
            </w:r>
          </w:p>
        </w:tc>
        <w:tc>
          <w:tcPr>
            <w:tcW w:w="0" w:type="auto"/>
          </w:tcPr>
          <w:p w14:paraId="242CCA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567F9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review of staff files and electronic records showed that 16 out of 32 staff (50%) had not had an opportunity to discuss and review their performance with their manager in the past year, as required </w:t>
            </w:r>
            <w:r w:rsidRPr="00BE00C7">
              <w:rPr>
                <w:rFonts w:cs="Arial"/>
                <w:lang w:eastAsia="en-NZ"/>
              </w:rPr>
              <w:lastRenderedPageBreak/>
              <w:t xml:space="preserve">by HLL’s policy. The CHM had identified this issue through the internal audit process, and a corrective action plan was in place, with efforts being made to address this issue.  </w:t>
            </w:r>
          </w:p>
          <w:p w14:paraId="60D22B79" w14:textId="77777777" w:rsidR="00000000" w:rsidRPr="00BE00C7" w:rsidRDefault="00000000" w:rsidP="00BE00C7">
            <w:pPr>
              <w:pStyle w:val="OutcomeDescription"/>
              <w:spacing w:before="120" w:after="120"/>
              <w:rPr>
                <w:rFonts w:cs="Arial"/>
                <w:lang w:eastAsia="en-NZ"/>
              </w:rPr>
            </w:pPr>
          </w:p>
        </w:tc>
        <w:tc>
          <w:tcPr>
            <w:tcW w:w="0" w:type="auto"/>
          </w:tcPr>
          <w:p w14:paraId="79DA9A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Not all staff have had the opportunity to discuss and review their performance with their manager in the past year, in line with the </w:t>
            </w:r>
            <w:r w:rsidRPr="00BE00C7">
              <w:rPr>
                <w:rFonts w:cs="Arial"/>
                <w:lang w:eastAsia="en-NZ"/>
              </w:rPr>
              <w:lastRenderedPageBreak/>
              <w:t xml:space="preserve">organisation’s requirements.  </w:t>
            </w:r>
          </w:p>
          <w:p w14:paraId="525D36B0" w14:textId="77777777" w:rsidR="00000000" w:rsidRPr="00BE00C7" w:rsidRDefault="00000000" w:rsidP="00BE00C7">
            <w:pPr>
              <w:pStyle w:val="OutcomeDescription"/>
              <w:spacing w:before="120" w:after="120"/>
              <w:rPr>
                <w:rFonts w:cs="Arial"/>
                <w:lang w:eastAsia="en-NZ"/>
              </w:rPr>
            </w:pPr>
          </w:p>
        </w:tc>
        <w:tc>
          <w:tcPr>
            <w:tcW w:w="0" w:type="auto"/>
          </w:tcPr>
          <w:p w14:paraId="5D07CDE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all staff have completed a performance appraisal with their manager in the past year.</w:t>
            </w:r>
          </w:p>
          <w:p w14:paraId="0F72500A" w14:textId="77777777" w:rsidR="00000000" w:rsidRPr="00BE00C7" w:rsidRDefault="00000000" w:rsidP="00BE00C7">
            <w:pPr>
              <w:pStyle w:val="OutcomeDescription"/>
              <w:spacing w:before="120" w:after="120"/>
              <w:rPr>
                <w:rFonts w:cs="Arial"/>
                <w:lang w:eastAsia="en-NZ"/>
              </w:rPr>
            </w:pPr>
          </w:p>
          <w:p w14:paraId="2F75498E"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B203D" w14:paraId="49556EA1" w14:textId="77777777">
        <w:tc>
          <w:tcPr>
            <w:tcW w:w="0" w:type="auto"/>
          </w:tcPr>
          <w:p w14:paraId="54FD7C7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1B9C5C96"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5898B64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961F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Princes Court has contract arrangements with local general practitioners (GP) to provide support to residents at Princes Court. The resident may retain their own GP, or the facility will assist them to enrol with a local practice. The GP is informed promptly of all admissions, and this was confirmed through interview with staff, a GP and emails. However, in five files reviewed not all residents had been seen by a GP or nurse practitioner within the contractually required timeframes following admission. The sample reviewed was extended to include six recent admissions. This confirmed five out of six residents admitted since April 2024 had not seen a GP or nurse practitioner within 2-5 days of admission as required by contract.  </w:t>
            </w:r>
          </w:p>
          <w:p w14:paraId="1B51E344" w14:textId="77777777" w:rsidR="00000000" w:rsidRPr="00BE00C7" w:rsidRDefault="00000000" w:rsidP="00BE00C7">
            <w:pPr>
              <w:pStyle w:val="OutcomeDescription"/>
              <w:spacing w:before="120" w:after="120"/>
              <w:rPr>
                <w:rFonts w:cs="Arial"/>
                <w:lang w:eastAsia="en-NZ"/>
              </w:rPr>
            </w:pPr>
            <w:r w:rsidRPr="00BE00C7">
              <w:rPr>
                <w:rFonts w:cs="Arial"/>
                <w:lang w:eastAsia="en-NZ"/>
              </w:rPr>
              <w:t>It was clear from interviews and documentation that staff had taken all reasonable steps to request GP reviews, and the newly appointed clinical services manager has planned meetings with the general practitioner to discuss concerns; for this reason, the corrective action is rated low risk.</w:t>
            </w:r>
          </w:p>
          <w:p w14:paraId="2F886A2A" w14:textId="77777777" w:rsidR="00000000" w:rsidRPr="00BE00C7" w:rsidRDefault="00000000" w:rsidP="00BE00C7">
            <w:pPr>
              <w:pStyle w:val="OutcomeDescription"/>
              <w:spacing w:before="120" w:after="120"/>
              <w:rPr>
                <w:rFonts w:cs="Arial"/>
                <w:lang w:eastAsia="en-NZ"/>
              </w:rPr>
            </w:pPr>
          </w:p>
        </w:tc>
        <w:tc>
          <w:tcPr>
            <w:tcW w:w="0" w:type="auto"/>
          </w:tcPr>
          <w:p w14:paraId="1F5DAB85" w14:textId="77777777" w:rsidR="00000000" w:rsidRPr="00BE00C7" w:rsidRDefault="00000000" w:rsidP="00BE00C7">
            <w:pPr>
              <w:pStyle w:val="OutcomeDescription"/>
              <w:spacing w:before="120" w:after="120"/>
              <w:rPr>
                <w:rFonts w:cs="Arial"/>
                <w:lang w:eastAsia="en-NZ"/>
              </w:rPr>
            </w:pPr>
            <w:r w:rsidRPr="00BE00C7">
              <w:rPr>
                <w:rFonts w:cs="Arial"/>
                <w:lang w:eastAsia="en-NZ"/>
              </w:rPr>
              <w:t>Not all residents were reviewed by a general or nurse practitioner within 2-5 days of admission as required by the age-related residential care services agreement clause D16.5.e.</w:t>
            </w:r>
          </w:p>
          <w:p w14:paraId="6789D41F" w14:textId="77777777" w:rsidR="00000000" w:rsidRPr="00BE00C7" w:rsidRDefault="00000000" w:rsidP="00BE00C7">
            <w:pPr>
              <w:pStyle w:val="OutcomeDescription"/>
              <w:spacing w:before="120" w:after="120"/>
              <w:rPr>
                <w:rFonts w:cs="Arial"/>
                <w:lang w:eastAsia="en-NZ"/>
              </w:rPr>
            </w:pPr>
          </w:p>
        </w:tc>
        <w:tc>
          <w:tcPr>
            <w:tcW w:w="0" w:type="auto"/>
          </w:tcPr>
          <w:p w14:paraId="2D9B9C0E"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all new residents are reviewed by a general or nurse practitioner on admission within the contractually required timeframes.</w:t>
            </w:r>
          </w:p>
          <w:p w14:paraId="45BE830D" w14:textId="77777777" w:rsidR="00000000" w:rsidRPr="00BE00C7" w:rsidRDefault="00000000" w:rsidP="00BE00C7">
            <w:pPr>
              <w:pStyle w:val="OutcomeDescription"/>
              <w:spacing w:before="120" w:after="120"/>
              <w:rPr>
                <w:rFonts w:cs="Arial"/>
                <w:lang w:eastAsia="en-NZ"/>
              </w:rPr>
            </w:pPr>
          </w:p>
          <w:p w14:paraId="38B66BE1"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6D81F2C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D4C73EC" w14:textId="77777777" w:rsidR="00000000" w:rsidRDefault="00000000">
      <w:pPr>
        <w:pStyle w:val="Heading1"/>
        <w:rPr>
          <w:rFonts w:cs="Arial"/>
        </w:rPr>
      </w:pPr>
      <w:r>
        <w:rPr>
          <w:rFonts w:cs="Arial"/>
        </w:rPr>
        <w:lastRenderedPageBreak/>
        <w:t>Specific results for criterion where a continuous improvement has been recorded</w:t>
      </w:r>
    </w:p>
    <w:p w14:paraId="6907E94B"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F8DC3CD"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C9D7C58"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B203D" w14:paraId="20BC3CCA" w14:textId="77777777">
        <w:tc>
          <w:tcPr>
            <w:tcW w:w="0" w:type="auto"/>
          </w:tcPr>
          <w:p w14:paraId="30B812F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074C78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B1878F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9280" w14:textId="77777777" w:rsidR="00F0474A" w:rsidRDefault="00F0474A">
      <w:r>
        <w:separator/>
      </w:r>
    </w:p>
  </w:endnote>
  <w:endnote w:type="continuationSeparator" w:id="0">
    <w:p w14:paraId="700C55D5" w14:textId="77777777" w:rsidR="00F0474A" w:rsidRDefault="00F0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282E" w14:textId="77777777" w:rsidR="00000000" w:rsidRDefault="00000000">
    <w:pPr>
      <w:pStyle w:val="Footer"/>
    </w:pPr>
  </w:p>
  <w:p w14:paraId="735D0FB3" w14:textId="77777777" w:rsidR="00000000" w:rsidRDefault="00000000"/>
  <w:p w14:paraId="54303F90"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C03"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Princes Court Lifecare</w:t>
    </w:r>
    <w:bookmarkEnd w:id="59"/>
    <w:r>
      <w:rPr>
        <w:rFonts w:cs="Arial"/>
        <w:sz w:val="16"/>
        <w:szCs w:val="20"/>
      </w:rPr>
      <w:tab/>
      <w:t xml:space="preserve">Date of Audit: </w:t>
    </w:r>
    <w:bookmarkStart w:id="60" w:name="AuditStartDate1"/>
    <w:r>
      <w:rPr>
        <w:rFonts w:cs="Arial"/>
        <w:sz w:val="16"/>
        <w:szCs w:val="20"/>
      </w:rPr>
      <w:t>30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7183D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EE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AE90" w14:textId="77777777" w:rsidR="00F0474A" w:rsidRDefault="00F0474A">
      <w:r>
        <w:separator/>
      </w:r>
    </w:p>
  </w:footnote>
  <w:footnote w:type="continuationSeparator" w:id="0">
    <w:p w14:paraId="7F0BA03D" w14:textId="77777777" w:rsidR="00F0474A" w:rsidRDefault="00F0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00AC" w14:textId="77777777" w:rsidR="00000000" w:rsidRDefault="00000000">
    <w:pPr>
      <w:pStyle w:val="Header"/>
    </w:pPr>
  </w:p>
  <w:p w14:paraId="051A83E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07A" w14:textId="77777777" w:rsidR="00000000" w:rsidRDefault="00000000">
    <w:pPr>
      <w:pStyle w:val="Header"/>
    </w:pPr>
  </w:p>
  <w:p w14:paraId="6361785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99C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503500">
      <w:start w:val="1"/>
      <w:numFmt w:val="decimal"/>
      <w:lvlText w:val="%1."/>
      <w:lvlJc w:val="left"/>
      <w:pPr>
        <w:ind w:left="360" w:hanging="360"/>
      </w:pPr>
    </w:lvl>
    <w:lvl w:ilvl="1" w:tplc="CA1411AC" w:tentative="1">
      <w:start w:val="1"/>
      <w:numFmt w:val="lowerLetter"/>
      <w:lvlText w:val="%2."/>
      <w:lvlJc w:val="left"/>
      <w:pPr>
        <w:ind w:left="1080" w:hanging="360"/>
      </w:pPr>
    </w:lvl>
    <w:lvl w:ilvl="2" w:tplc="5866A09C" w:tentative="1">
      <w:start w:val="1"/>
      <w:numFmt w:val="lowerRoman"/>
      <w:lvlText w:val="%3."/>
      <w:lvlJc w:val="right"/>
      <w:pPr>
        <w:ind w:left="1800" w:hanging="180"/>
      </w:pPr>
    </w:lvl>
    <w:lvl w:ilvl="3" w:tplc="2182013A" w:tentative="1">
      <w:start w:val="1"/>
      <w:numFmt w:val="decimal"/>
      <w:lvlText w:val="%4."/>
      <w:lvlJc w:val="left"/>
      <w:pPr>
        <w:ind w:left="2520" w:hanging="360"/>
      </w:pPr>
    </w:lvl>
    <w:lvl w:ilvl="4" w:tplc="83749ADE" w:tentative="1">
      <w:start w:val="1"/>
      <w:numFmt w:val="lowerLetter"/>
      <w:lvlText w:val="%5."/>
      <w:lvlJc w:val="left"/>
      <w:pPr>
        <w:ind w:left="3240" w:hanging="360"/>
      </w:pPr>
    </w:lvl>
    <w:lvl w:ilvl="5" w:tplc="B9D238BA" w:tentative="1">
      <w:start w:val="1"/>
      <w:numFmt w:val="lowerRoman"/>
      <w:lvlText w:val="%6."/>
      <w:lvlJc w:val="right"/>
      <w:pPr>
        <w:ind w:left="3960" w:hanging="180"/>
      </w:pPr>
    </w:lvl>
    <w:lvl w:ilvl="6" w:tplc="A7282482" w:tentative="1">
      <w:start w:val="1"/>
      <w:numFmt w:val="decimal"/>
      <w:lvlText w:val="%7."/>
      <w:lvlJc w:val="left"/>
      <w:pPr>
        <w:ind w:left="4680" w:hanging="360"/>
      </w:pPr>
    </w:lvl>
    <w:lvl w:ilvl="7" w:tplc="0D6EB718" w:tentative="1">
      <w:start w:val="1"/>
      <w:numFmt w:val="lowerLetter"/>
      <w:lvlText w:val="%8."/>
      <w:lvlJc w:val="left"/>
      <w:pPr>
        <w:ind w:left="5400" w:hanging="360"/>
      </w:pPr>
    </w:lvl>
    <w:lvl w:ilvl="8" w:tplc="A53C88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0C6738">
      <w:start w:val="1"/>
      <w:numFmt w:val="bullet"/>
      <w:lvlText w:val=""/>
      <w:lvlJc w:val="left"/>
      <w:pPr>
        <w:ind w:left="720" w:hanging="360"/>
      </w:pPr>
      <w:rPr>
        <w:rFonts w:ascii="Symbol" w:hAnsi="Symbol" w:hint="default"/>
      </w:rPr>
    </w:lvl>
    <w:lvl w:ilvl="1" w:tplc="6DD85390" w:tentative="1">
      <w:start w:val="1"/>
      <w:numFmt w:val="bullet"/>
      <w:lvlText w:val="o"/>
      <w:lvlJc w:val="left"/>
      <w:pPr>
        <w:ind w:left="1440" w:hanging="360"/>
      </w:pPr>
      <w:rPr>
        <w:rFonts w:ascii="Courier New" w:hAnsi="Courier New" w:cs="Courier New" w:hint="default"/>
      </w:rPr>
    </w:lvl>
    <w:lvl w:ilvl="2" w:tplc="53D2FC6C" w:tentative="1">
      <w:start w:val="1"/>
      <w:numFmt w:val="bullet"/>
      <w:lvlText w:val=""/>
      <w:lvlJc w:val="left"/>
      <w:pPr>
        <w:ind w:left="2160" w:hanging="360"/>
      </w:pPr>
      <w:rPr>
        <w:rFonts w:ascii="Wingdings" w:hAnsi="Wingdings" w:hint="default"/>
      </w:rPr>
    </w:lvl>
    <w:lvl w:ilvl="3" w:tplc="7F16DCD2" w:tentative="1">
      <w:start w:val="1"/>
      <w:numFmt w:val="bullet"/>
      <w:lvlText w:val=""/>
      <w:lvlJc w:val="left"/>
      <w:pPr>
        <w:ind w:left="2880" w:hanging="360"/>
      </w:pPr>
      <w:rPr>
        <w:rFonts w:ascii="Symbol" w:hAnsi="Symbol" w:hint="default"/>
      </w:rPr>
    </w:lvl>
    <w:lvl w:ilvl="4" w:tplc="05D4FF9E" w:tentative="1">
      <w:start w:val="1"/>
      <w:numFmt w:val="bullet"/>
      <w:lvlText w:val="o"/>
      <w:lvlJc w:val="left"/>
      <w:pPr>
        <w:ind w:left="3600" w:hanging="360"/>
      </w:pPr>
      <w:rPr>
        <w:rFonts w:ascii="Courier New" w:hAnsi="Courier New" w:cs="Courier New" w:hint="default"/>
      </w:rPr>
    </w:lvl>
    <w:lvl w:ilvl="5" w:tplc="E1F633C2" w:tentative="1">
      <w:start w:val="1"/>
      <w:numFmt w:val="bullet"/>
      <w:lvlText w:val=""/>
      <w:lvlJc w:val="left"/>
      <w:pPr>
        <w:ind w:left="4320" w:hanging="360"/>
      </w:pPr>
      <w:rPr>
        <w:rFonts w:ascii="Wingdings" w:hAnsi="Wingdings" w:hint="default"/>
      </w:rPr>
    </w:lvl>
    <w:lvl w:ilvl="6" w:tplc="EBC0ABC6" w:tentative="1">
      <w:start w:val="1"/>
      <w:numFmt w:val="bullet"/>
      <w:lvlText w:val=""/>
      <w:lvlJc w:val="left"/>
      <w:pPr>
        <w:ind w:left="5040" w:hanging="360"/>
      </w:pPr>
      <w:rPr>
        <w:rFonts w:ascii="Symbol" w:hAnsi="Symbol" w:hint="default"/>
      </w:rPr>
    </w:lvl>
    <w:lvl w:ilvl="7" w:tplc="55AC1526" w:tentative="1">
      <w:start w:val="1"/>
      <w:numFmt w:val="bullet"/>
      <w:lvlText w:val="o"/>
      <w:lvlJc w:val="left"/>
      <w:pPr>
        <w:ind w:left="5760" w:hanging="360"/>
      </w:pPr>
      <w:rPr>
        <w:rFonts w:ascii="Courier New" w:hAnsi="Courier New" w:cs="Courier New" w:hint="default"/>
      </w:rPr>
    </w:lvl>
    <w:lvl w:ilvl="8" w:tplc="D0389262" w:tentative="1">
      <w:start w:val="1"/>
      <w:numFmt w:val="bullet"/>
      <w:lvlText w:val=""/>
      <w:lvlJc w:val="left"/>
      <w:pPr>
        <w:ind w:left="6480" w:hanging="360"/>
      </w:pPr>
      <w:rPr>
        <w:rFonts w:ascii="Wingdings" w:hAnsi="Wingdings" w:hint="default"/>
      </w:rPr>
    </w:lvl>
  </w:abstractNum>
  <w:num w:numId="1" w16cid:durableId="923997428">
    <w:abstractNumId w:val="1"/>
  </w:num>
  <w:num w:numId="2" w16cid:durableId="34545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3D"/>
    <w:rsid w:val="002B203D"/>
    <w:rsid w:val="003936F0"/>
    <w:rsid w:val="004705DB"/>
    <w:rsid w:val="00B60DAB"/>
    <w:rsid w:val="00F047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B0BC"/>
  <w15:docId w15:val="{E10A3989-1666-4D1B-9F93-71024269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8009</Words>
  <Characters>45656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2024-12-17T20:53:00Z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