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5531" w14:textId="77777777" w:rsidR="00F07F6B" w:rsidRDefault="00F07F6B">
      <w:pPr>
        <w:pStyle w:val="Heading1"/>
        <w:rPr>
          <w:rFonts w:cs="Arial"/>
        </w:rPr>
      </w:pPr>
      <w:bookmarkStart w:id="0" w:name="PRMS_RIName"/>
      <w:r>
        <w:rPr>
          <w:rFonts w:cs="Arial"/>
        </w:rPr>
        <w:t>Bupa Care Services NZ Limited - Bethesda Rest Home &amp; Hospital</w:t>
      </w:r>
      <w:bookmarkEnd w:id="0"/>
    </w:p>
    <w:p w14:paraId="040A375C" w14:textId="77777777" w:rsidR="00F07F6B" w:rsidRDefault="00F07F6B">
      <w:pPr>
        <w:pStyle w:val="Heading2"/>
        <w:spacing w:after="0"/>
        <w:rPr>
          <w:rFonts w:cs="Arial"/>
        </w:rPr>
      </w:pPr>
      <w:r>
        <w:rPr>
          <w:rFonts w:cs="Arial"/>
        </w:rPr>
        <w:t>Introduction</w:t>
      </w:r>
    </w:p>
    <w:p w14:paraId="16FA6FF5" w14:textId="77777777" w:rsidR="00F07F6B" w:rsidRDefault="00F07F6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0A5D1F0" w14:textId="77777777" w:rsidR="00F07F6B" w:rsidRDefault="00F07F6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473A60D" w14:textId="77777777" w:rsidR="00F07F6B" w:rsidRDefault="00F07F6B">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3B60D9A" w14:textId="77777777" w:rsidR="00F07F6B" w:rsidRDefault="00F07F6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A348E5B" w14:textId="77777777" w:rsidR="00F07F6B" w:rsidRDefault="00F07F6B">
      <w:pPr>
        <w:spacing w:before="240" w:after="240"/>
        <w:rPr>
          <w:rFonts w:cs="Arial"/>
          <w:lang w:eastAsia="en-NZ"/>
        </w:rPr>
      </w:pPr>
      <w:r>
        <w:rPr>
          <w:rFonts w:cs="Arial"/>
          <w:lang w:eastAsia="en-NZ"/>
        </w:rPr>
        <w:t>The specifics of this audit included:</w:t>
      </w:r>
    </w:p>
    <w:p w14:paraId="7D4628D9" w14:textId="77777777" w:rsidR="00F07F6B" w:rsidRPr="009D18F5" w:rsidRDefault="00F07F6B" w:rsidP="009D18F5">
      <w:pPr>
        <w:pBdr>
          <w:top w:val="single" w:sz="4" w:space="1" w:color="auto"/>
          <w:left w:val="single" w:sz="4" w:space="4" w:color="auto"/>
          <w:bottom w:val="single" w:sz="4" w:space="1" w:color="auto"/>
          <w:right w:val="single" w:sz="4" w:space="4" w:color="auto"/>
        </w:pBdr>
        <w:rPr>
          <w:rFonts w:cs="Arial"/>
        </w:rPr>
      </w:pPr>
    </w:p>
    <w:p w14:paraId="079A0D56" w14:textId="77777777" w:rsidR="00F07F6B" w:rsidRPr="009418D4" w:rsidRDefault="00F07F6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3BFE6380" w14:textId="77777777" w:rsidR="00F07F6B" w:rsidRPr="009418D4" w:rsidRDefault="00F07F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Bethesda Rest Home &amp; Hospital</w:t>
      </w:r>
      <w:bookmarkEnd w:id="5"/>
    </w:p>
    <w:p w14:paraId="293BF560" w14:textId="77777777" w:rsidR="00F07F6B" w:rsidRPr="009418D4" w:rsidRDefault="00F07F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C412F79" w14:textId="77777777" w:rsidR="00F07F6B" w:rsidRPr="009418D4" w:rsidRDefault="00F07F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November 2024</w:t>
      </w:r>
      <w:bookmarkEnd w:id="7"/>
      <w:r w:rsidRPr="009418D4">
        <w:rPr>
          <w:rFonts w:cs="Arial"/>
        </w:rPr>
        <w:tab/>
        <w:t xml:space="preserve">End date: </w:t>
      </w:r>
      <w:bookmarkStart w:id="8" w:name="AuditEndDate"/>
      <w:r>
        <w:rPr>
          <w:rFonts w:cs="Arial"/>
        </w:rPr>
        <w:t>27 November 2024</w:t>
      </w:r>
      <w:bookmarkEnd w:id="8"/>
    </w:p>
    <w:p w14:paraId="6BC73FB9" w14:textId="77777777" w:rsidR="00F07F6B" w:rsidRPr="009418D4" w:rsidRDefault="00F07F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E48555" w14:textId="77777777" w:rsidR="002A6E80" w:rsidRPr="009418D4" w:rsidRDefault="00F07F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14:paraId="3ADBE1B9" w14:textId="77777777" w:rsidR="00F07F6B" w:rsidRDefault="00F07F6B" w:rsidP="009D18F5">
      <w:pPr>
        <w:pBdr>
          <w:top w:val="single" w:sz="4" w:space="1" w:color="auto"/>
          <w:left w:val="single" w:sz="4" w:space="4" w:color="auto"/>
          <w:bottom w:val="single" w:sz="4" w:space="1" w:color="auto"/>
          <w:right w:val="single" w:sz="4" w:space="4" w:color="auto"/>
        </w:pBdr>
        <w:rPr>
          <w:rFonts w:cs="Arial"/>
          <w:lang w:eastAsia="en-NZ"/>
        </w:rPr>
      </w:pPr>
    </w:p>
    <w:p w14:paraId="206F59DD" w14:textId="77777777" w:rsidR="00F07F6B" w:rsidRDefault="00F07F6B">
      <w:pPr>
        <w:pStyle w:val="Heading1"/>
        <w:rPr>
          <w:rFonts w:cs="Arial"/>
        </w:rPr>
      </w:pPr>
      <w:r>
        <w:rPr>
          <w:rFonts w:cs="Arial"/>
        </w:rPr>
        <w:lastRenderedPageBreak/>
        <w:t>Executive summary of the audit</w:t>
      </w:r>
    </w:p>
    <w:p w14:paraId="6AD73D16" w14:textId="77777777" w:rsidR="00F07F6B" w:rsidRDefault="00F07F6B">
      <w:pPr>
        <w:pStyle w:val="Heading2"/>
        <w:rPr>
          <w:rFonts w:cs="Arial"/>
        </w:rPr>
      </w:pPr>
      <w:r>
        <w:rPr>
          <w:rFonts w:cs="Arial"/>
        </w:rPr>
        <w:t>Introduction</w:t>
      </w:r>
    </w:p>
    <w:p w14:paraId="5E4F71F9" w14:textId="77777777" w:rsidR="00F07F6B" w:rsidRDefault="00F07F6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8D43666" w14:textId="77777777" w:rsidR="00F07F6B" w:rsidRDefault="00F07F6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037B1D5" w14:textId="77777777" w:rsidR="00F07F6B" w:rsidRDefault="00F07F6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3AE1CDC" w14:textId="77777777" w:rsidR="00F07F6B" w:rsidRDefault="00F07F6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95EDB9" w14:textId="77777777" w:rsidR="00F07F6B" w:rsidRDefault="00F07F6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7CDCF30" w14:textId="77777777" w:rsidR="00F07F6B" w:rsidRDefault="00F07F6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D923D60" w14:textId="77777777" w:rsidR="00F07F6B" w:rsidRDefault="00F07F6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E497D05" w14:textId="77777777" w:rsidR="00F07F6B" w:rsidRDefault="00F07F6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44DE716" w14:textId="77777777" w:rsidR="00F07F6B" w:rsidRDefault="00F07F6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A6E80" w14:paraId="68E07A10" w14:textId="77777777">
        <w:trPr>
          <w:cantSplit/>
          <w:tblHeader/>
        </w:trPr>
        <w:tc>
          <w:tcPr>
            <w:tcW w:w="1260" w:type="dxa"/>
            <w:tcBorders>
              <w:bottom w:val="single" w:sz="4" w:space="0" w:color="000000"/>
            </w:tcBorders>
            <w:vAlign w:val="center"/>
          </w:tcPr>
          <w:p w14:paraId="3BA6E84C" w14:textId="77777777" w:rsidR="00F07F6B" w:rsidRDefault="00F07F6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2A7305" w14:textId="77777777" w:rsidR="00F07F6B" w:rsidRDefault="00F07F6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08B3E44" w14:textId="77777777" w:rsidR="00F07F6B" w:rsidRDefault="00F07F6B">
            <w:pPr>
              <w:spacing w:before="60" w:after="60"/>
              <w:rPr>
                <w:rFonts w:eastAsia="Calibri"/>
                <w:b/>
                <w:szCs w:val="24"/>
              </w:rPr>
            </w:pPr>
            <w:r>
              <w:rPr>
                <w:rFonts w:eastAsia="Calibri"/>
                <w:b/>
                <w:szCs w:val="24"/>
              </w:rPr>
              <w:t>Definition</w:t>
            </w:r>
          </w:p>
        </w:tc>
      </w:tr>
      <w:tr w:rsidR="002A6E80" w14:paraId="3435DA7B" w14:textId="77777777">
        <w:trPr>
          <w:cantSplit/>
          <w:trHeight w:val="964"/>
        </w:trPr>
        <w:tc>
          <w:tcPr>
            <w:tcW w:w="1260" w:type="dxa"/>
            <w:tcBorders>
              <w:bottom w:val="single" w:sz="4" w:space="0" w:color="000000"/>
            </w:tcBorders>
            <w:shd w:val="clear" w:color="0066FF" w:fill="0000FF"/>
            <w:vAlign w:val="center"/>
          </w:tcPr>
          <w:p w14:paraId="06B79CF8" w14:textId="77777777" w:rsidR="00F07F6B" w:rsidRDefault="00F07F6B">
            <w:pPr>
              <w:spacing w:before="60" w:after="60"/>
              <w:rPr>
                <w:rFonts w:eastAsia="Calibri"/>
                <w:szCs w:val="24"/>
              </w:rPr>
            </w:pPr>
          </w:p>
        </w:tc>
        <w:tc>
          <w:tcPr>
            <w:tcW w:w="7095" w:type="dxa"/>
            <w:tcBorders>
              <w:bottom w:val="single" w:sz="4" w:space="0" w:color="000000"/>
            </w:tcBorders>
            <w:shd w:val="clear" w:color="auto" w:fill="auto"/>
            <w:vAlign w:val="center"/>
          </w:tcPr>
          <w:p w14:paraId="4D0D91D0" w14:textId="77777777" w:rsidR="00F07F6B" w:rsidRDefault="00F07F6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C9FA97D" w14:textId="77777777" w:rsidR="00F07F6B" w:rsidRDefault="00F07F6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A6E80" w14:paraId="65B0A87E" w14:textId="77777777">
        <w:trPr>
          <w:cantSplit/>
          <w:trHeight w:val="964"/>
        </w:trPr>
        <w:tc>
          <w:tcPr>
            <w:tcW w:w="1260" w:type="dxa"/>
            <w:shd w:val="clear" w:color="33CC33" w:fill="00FF00"/>
            <w:vAlign w:val="center"/>
          </w:tcPr>
          <w:p w14:paraId="110B71C2" w14:textId="77777777" w:rsidR="00F07F6B" w:rsidRDefault="00F07F6B">
            <w:pPr>
              <w:spacing w:before="60" w:after="60"/>
              <w:rPr>
                <w:rFonts w:eastAsia="Calibri"/>
                <w:szCs w:val="24"/>
              </w:rPr>
            </w:pPr>
          </w:p>
        </w:tc>
        <w:tc>
          <w:tcPr>
            <w:tcW w:w="7095" w:type="dxa"/>
            <w:shd w:val="clear" w:color="auto" w:fill="auto"/>
            <w:vAlign w:val="center"/>
          </w:tcPr>
          <w:p w14:paraId="7F17E77B" w14:textId="77777777" w:rsidR="00F07F6B" w:rsidRDefault="00F07F6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31848E0" w14:textId="77777777" w:rsidR="00F07F6B" w:rsidRDefault="00F07F6B">
            <w:pPr>
              <w:spacing w:before="60" w:after="60"/>
              <w:ind w:left="50"/>
              <w:rPr>
                <w:rFonts w:eastAsia="Calibri"/>
                <w:szCs w:val="24"/>
              </w:rPr>
            </w:pPr>
            <w:r w:rsidRPr="00FB778F">
              <w:rPr>
                <w:rFonts w:eastAsia="Calibri"/>
                <w:szCs w:val="24"/>
              </w:rPr>
              <w:t>Subsections applicable to this service fully attained</w:t>
            </w:r>
          </w:p>
        </w:tc>
      </w:tr>
      <w:tr w:rsidR="002A6E80" w14:paraId="35868C65" w14:textId="77777777">
        <w:trPr>
          <w:cantSplit/>
          <w:trHeight w:val="964"/>
        </w:trPr>
        <w:tc>
          <w:tcPr>
            <w:tcW w:w="1260" w:type="dxa"/>
            <w:tcBorders>
              <w:bottom w:val="single" w:sz="4" w:space="0" w:color="000000"/>
            </w:tcBorders>
            <w:shd w:val="clear" w:color="auto" w:fill="FFFF00"/>
            <w:vAlign w:val="center"/>
          </w:tcPr>
          <w:p w14:paraId="453CD1EC" w14:textId="77777777" w:rsidR="00F07F6B" w:rsidRDefault="00F07F6B">
            <w:pPr>
              <w:spacing w:before="60" w:after="60"/>
              <w:rPr>
                <w:rFonts w:eastAsia="Calibri"/>
                <w:szCs w:val="24"/>
              </w:rPr>
            </w:pPr>
          </w:p>
        </w:tc>
        <w:tc>
          <w:tcPr>
            <w:tcW w:w="7095" w:type="dxa"/>
            <w:shd w:val="clear" w:color="auto" w:fill="auto"/>
            <w:vAlign w:val="center"/>
          </w:tcPr>
          <w:p w14:paraId="494E3701" w14:textId="77777777" w:rsidR="00F07F6B" w:rsidRDefault="00F07F6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8A10D42" w14:textId="77777777" w:rsidR="00F07F6B" w:rsidRDefault="00F07F6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A6E80" w14:paraId="3C7BB099" w14:textId="77777777">
        <w:trPr>
          <w:cantSplit/>
          <w:trHeight w:val="964"/>
        </w:trPr>
        <w:tc>
          <w:tcPr>
            <w:tcW w:w="1260" w:type="dxa"/>
            <w:tcBorders>
              <w:bottom w:val="single" w:sz="4" w:space="0" w:color="000000"/>
            </w:tcBorders>
            <w:shd w:val="clear" w:color="auto" w:fill="FFC800"/>
            <w:vAlign w:val="center"/>
          </w:tcPr>
          <w:p w14:paraId="05C4DC5B" w14:textId="77777777" w:rsidR="00F07F6B" w:rsidRDefault="00F07F6B">
            <w:pPr>
              <w:spacing w:before="60" w:after="60"/>
              <w:rPr>
                <w:rFonts w:eastAsia="Calibri"/>
                <w:szCs w:val="24"/>
              </w:rPr>
            </w:pPr>
          </w:p>
        </w:tc>
        <w:tc>
          <w:tcPr>
            <w:tcW w:w="7095" w:type="dxa"/>
            <w:tcBorders>
              <w:bottom w:val="single" w:sz="4" w:space="0" w:color="000000"/>
            </w:tcBorders>
            <w:shd w:val="clear" w:color="auto" w:fill="auto"/>
            <w:vAlign w:val="center"/>
          </w:tcPr>
          <w:p w14:paraId="6C46447B" w14:textId="77777777" w:rsidR="00F07F6B" w:rsidRDefault="00F07F6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EBE1014" w14:textId="77777777" w:rsidR="00F07F6B" w:rsidRDefault="00F07F6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A6E80" w14:paraId="120A3B84" w14:textId="77777777">
        <w:trPr>
          <w:cantSplit/>
          <w:trHeight w:val="964"/>
        </w:trPr>
        <w:tc>
          <w:tcPr>
            <w:tcW w:w="1260" w:type="dxa"/>
            <w:shd w:val="clear" w:color="auto" w:fill="FF0000"/>
            <w:vAlign w:val="center"/>
          </w:tcPr>
          <w:p w14:paraId="7032B58C" w14:textId="77777777" w:rsidR="00F07F6B" w:rsidRDefault="00F07F6B">
            <w:pPr>
              <w:spacing w:before="60" w:after="60"/>
              <w:rPr>
                <w:rFonts w:eastAsia="Calibri"/>
                <w:szCs w:val="24"/>
              </w:rPr>
            </w:pPr>
          </w:p>
        </w:tc>
        <w:tc>
          <w:tcPr>
            <w:tcW w:w="7095" w:type="dxa"/>
            <w:shd w:val="clear" w:color="auto" w:fill="auto"/>
            <w:vAlign w:val="center"/>
          </w:tcPr>
          <w:p w14:paraId="646B9F23" w14:textId="77777777" w:rsidR="00F07F6B" w:rsidRDefault="00F07F6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FC4F57B" w14:textId="77777777" w:rsidR="00F07F6B" w:rsidRDefault="00F07F6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D99E389" w14:textId="77777777" w:rsidR="00F07F6B" w:rsidRDefault="00F07F6B">
      <w:pPr>
        <w:pStyle w:val="Heading2"/>
        <w:spacing w:after="0"/>
        <w:rPr>
          <w:rFonts w:cs="Arial"/>
        </w:rPr>
      </w:pPr>
      <w:r>
        <w:rPr>
          <w:rFonts w:cs="Arial"/>
        </w:rPr>
        <w:t>General overview of the audit</w:t>
      </w:r>
    </w:p>
    <w:p w14:paraId="03BADB89" w14:textId="77777777" w:rsidR="00F07F6B" w:rsidRDefault="00F07F6B">
      <w:pPr>
        <w:spacing w:before="240" w:line="276" w:lineRule="auto"/>
        <w:rPr>
          <w:rFonts w:eastAsia="Calibri"/>
        </w:rPr>
      </w:pPr>
      <w:bookmarkStart w:id="13" w:name="GeneralOverview"/>
      <w:r w:rsidRPr="00A4268A">
        <w:rPr>
          <w:rFonts w:eastAsia="Calibri"/>
        </w:rPr>
        <w:t xml:space="preserve">Bethesda Rest Home &amp; Hospital is a Bupa facility and provides hospital (geriatric and medical), rest home and dementia level of care for up to 90 residents. There were 83 residents at the time of the audit. </w:t>
      </w:r>
    </w:p>
    <w:p w14:paraId="3284C54D" w14:textId="77777777" w:rsidR="002A6E80" w:rsidRPr="00A4268A" w:rsidRDefault="00F07F6B">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and interviews with residents, family/whānau, management, staff and a general practitioner. </w:t>
      </w:r>
    </w:p>
    <w:p w14:paraId="2A91ED18" w14:textId="77777777" w:rsidR="002A6E80" w:rsidRPr="00A4268A" w:rsidRDefault="00F07F6B">
      <w:pPr>
        <w:spacing w:before="240" w:line="276" w:lineRule="auto"/>
        <w:rPr>
          <w:rFonts w:eastAsia="Calibri"/>
        </w:rPr>
      </w:pPr>
      <w:r w:rsidRPr="00A4268A">
        <w:rPr>
          <w:rFonts w:eastAsia="Calibri"/>
        </w:rPr>
        <w:t>The interim care home manager is supported by a clinical manager, two unit-coordinators and an experienced care team. 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3B418E8E" w14:textId="77777777" w:rsidR="002A6E80" w:rsidRPr="00A4268A" w:rsidRDefault="00F07F6B">
      <w:pPr>
        <w:spacing w:before="240" w:line="276" w:lineRule="auto"/>
        <w:rPr>
          <w:rFonts w:eastAsia="Calibri"/>
        </w:rPr>
      </w:pPr>
      <w:r w:rsidRPr="00A4268A">
        <w:rPr>
          <w:rFonts w:eastAsia="Calibri"/>
        </w:rPr>
        <w:t>The service has addressed the previous three audit findings relating to timeframes, care plan interventions and monitoring.</w:t>
      </w:r>
    </w:p>
    <w:p w14:paraId="5D06B972" w14:textId="77777777" w:rsidR="002A6E80" w:rsidRPr="00A4268A" w:rsidRDefault="00F07F6B">
      <w:pPr>
        <w:spacing w:before="240" w:line="276" w:lineRule="auto"/>
        <w:rPr>
          <w:rFonts w:eastAsia="Calibri"/>
        </w:rPr>
      </w:pPr>
      <w:r w:rsidRPr="00A4268A">
        <w:rPr>
          <w:rFonts w:eastAsia="Calibri"/>
        </w:rPr>
        <w:t>There was one shortfall identified at this surveillance audit relating to staff competencies.</w:t>
      </w:r>
    </w:p>
    <w:bookmarkEnd w:id="13"/>
    <w:p w14:paraId="66053EC7" w14:textId="77777777" w:rsidR="002A6E80" w:rsidRPr="00A4268A" w:rsidRDefault="002A6E80">
      <w:pPr>
        <w:spacing w:before="240" w:line="276" w:lineRule="auto"/>
        <w:rPr>
          <w:rFonts w:eastAsia="Calibri"/>
        </w:rPr>
      </w:pPr>
    </w:p>
    <w:p w14:paraId="72463580" w14:textId="77777777" w:rsidR="00F07F6B" w:rsidRDefault="00F07F6B"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6E80" w14:paraId="278B697A" w14:textId="77777777" w:rsidTr="00A4268A">
        <w:trPr>
          <w:cantSplit/>
        </w:trPr>
        <w:tc>
          <w:tcPr>
            <w:tcW w:w="10206" w:type="dxa"/>
            <w:vAlign w:val="center"/>
          </w:tcPr>
          <w:p w14:paraId="0A7F6E35" w14:textId="77777777" w:rsidR="00F07F6B" w:rsidRPr="00FB778F" w:rsidRDefault="00F07F6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5B3A0B9" w14:textId="77777777" w:rsidR="00F07F6B" w:rsidRPr="00621629" w:rsidRDefault="00F07F6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729BF42" w14:textId="77777777" w:rsidR="00F07F6B" w:rsidRPr="00621629" w:rsidRDefault="00F07F6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9B2FF3" w14:textId="77777777" w:rsidR="00F07F6B" w:rsidRPr="00621629" w:rsidRDefault="00F07F6B" w:rsidP="008F3634">
            <w:pPr>
              <w:spacing w:before="60" w:after="60" w:line="276" w:lineRule="auto"/>
              <w:rPr>
                <w:rFonts w:eastAsia="Calibri"/>
              </w:rPr>
            </w:pPr>
            <w:bookmarkStart w:id="15" w:name="IndicatorDescription1_1"/>
            <w:bookmarkEnd w:id="15"/>
            <w:r>
              <w:t>Subsections applicable to this service fully attained.</w:t>
            </w:r>
          </w:p>
        </w:tc>
      </w:tr>
    </w:tbl>
    <w:p w14:paraId="2A5A2BE3" w14:textId="77777777" w:rsidR="00F07F6B" w:rsidRDefault="00F07F6B">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w:t>
      </w:r>
      <w:r w:rsidRPr="00A4268A">
        <w:rPr>
          <w:rFonts w:eastAsia="Calibri"/>
        </w:rPr>
        <w:t>service recognises Māori mana motuhake and this is reflected in the Māori health plan and business plan. A Pacific health plan is in place which ensures cultural safety for Pacific peoples, embracing their worldviews, cultural, and spiritual beliefs. Bupa Bethesda Rest Home &amp; Hospital demonstrates their knowledge and understanding of resident’s rights and ensures that residents are well informed in respect of these. Residents are kept safe from abuse, and staff are aware of professional boundaries. The comp</w:t>
      </w:r>
      <w:r w:rsidRPr="00A4268A">
        <w:rPr>
          <w:rFonts w:eastAsia="Calibri"/>
        </w:rPr>
        <w:t>laints process is responsive, fair, and equitable. It is managed in accordance with the Code of Health and Disability Services Consumers’ Rights, and complainants are kept fully informed.</w:t>
      </w:r>
    </w:p>
    <w:bookmarkEnd w:id="16"/>
    <w:p w14:paraId="605270A4" w14:textId="77777777" w:rsidR="002A6E80" w:rsidRPr="00A4268A" w:rsidRDefault="002A6E80">
      <w:pPr>
        <w:spacing w:before="240" w:line="276" w:lineRule="auto"/>
        <w:rPr>
          <w:rFonts w:eastAsia="Calibri"/>
        </w:rPr>
      </w:pPr>
    </w:p>
    <w:p w14:paraId="55B820DD" w14:textId="77777777" w:rsidR="00F07F6B" w:rsidRDefault="00F07F6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6E80" w14:paraId="4B41132D" w14:textId="77777777" w:rsidTr="00A4268A">
        <w:trPr>
          <w:cantSplit/>
        </w:trPr>
        <w:tc>
          <w:tcPr>
            <w:tcW w:w="10206" w:type="dxa"/>
            <w:vAlign w:val="center"/>
          </w:tcPr>
          <w:p w14:paraId="13D19D99" w14:textId="77777777" w:rsidR="00F07F6B" w:rsidRPr="00621629" w:rsidRDefault="00F07F6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B97ABDB" w14:textId="77777777" w:rsidR="00F07F6B" w:rsidRPr="00621629" w:rsidRDefault="00F07F6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4A8D005" w14:textId="77777777" w:rsidR="00F07F6B" w:rsidRPr="00621629" w:rsidRDefault="00F07F6B"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A898A81" w14:textId="77777777" w:rsidR="00F07F6B" w:rsidRDefault="00F07F6B">
      <w:pPr>
        <w:spacing w:before="240" w:line="276" w:lineRule="auto"/>
        <w:rPr>
          <w:rFonts w:eastAsia="Calibri"/>
        </w:rPr>
      </w:pPr>
      <w:bookmarkStart w:id="19" w:name="OrganisationalManagement"/>
      <w:r w:rsidRPr="00A4268A">
        <w:rPr>
          <w:rFonts w:eastAsia="Calibri"/>
        </w:rPr>
        <w:t xml:space="preserve">Bupa Bethesda Rest Home &amp; Hospital has a </w:t>
      </w:r>
      <w:r w:rsidRPr="00A4268A">
        <w:rPr>
          <w:rFonts w:eastAsia="Calibri"/>
        </w:rPr>
        <w:t>well-established and robust governance structure, including clinical governance that is appropriate to the size and complexity of the service provided. The business plan includes a mission statement and operational objectives which are regularly reviewed. Barriers to health equity are identified, addressed, and services delivered that improve outcomes for Māori. The service has effective quality and risk management systems in place that take a risk-based approach, and progress is regularly evaluated against</w:t>
      </w:r>
      <w:r w:rsidRPr="00A4268A">
        <w:rPr>
          <w:rFonts w:eastAsia="Calibri"/>
        </w:rPr>
        <w:t xml:space="preserve"> quality outcomes. There is a process for following the National Adverse Event Reporting </w:t>
      </w:r>
      <w:r w:rsidRPr="00A4268A">
        <w:rPr>
          <w:rFonts w:eastAsia="Calibri"/>
        </w:rPr>
        <w:lastRenderedPageBreak/>
        <w:t>policy, and management have an understanding and comply with statutory and regulatory obligations in relation to essential notification reporting. There is a staffing and rostering policy. Human resources are managed in accordance with good employment practice. An orientation programme and staff training plan are in place to support staff in delivering safe quality care.</w:t>
      </w:r>
    </w:p>
    <w:bookmarkEnd w:id="19"/>
    <w:p w14:paraId="29933295" w14:textId="77777777" w:rsidR="002A6E80" w:rsidRPr="00A4268A" w:rsidRDefault="002A6E80">
      <w:pPr>
        <w:spacing w:before="240" w:line="276" w:lineRule="auto"/>
        <w:rPr>
          <w:rFonts w:eastAsia="Calibri"/>
        </w:rPr>
      </w:pPr>
    </w:p>
    <w:p w14:paraId="0F084F0E" w14:textId="77777777" w:rsidR="00F07F6B" w:rsidRDefault="00F07F6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6E80" w14:paraId="67C4CB41" w14:textId="77777777" w:rsidTr="00A4268A">
        <w:trPr>
          <w:cantSplit/>
        </w:trPr>
        <w:tc>
          <w:tcPr>
            <w:tcW w:w="10206" w:type="dxa"/>
            <w:vAlign w:val="center"/>
          </w:tcPr>
          <w:p w14:paraId="4CCD8628" w14:textId="77777777" w:rsidR="00F07F6B" w:rsidRPr="00621629" w:rsidRDefault="00F07F6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3A07D9C" w14:textId="77777777" w:rsidR="00F07F6B" w:rsidRPr="00621629" w:rsidRDefault="00F07F6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EFF6B51" w14:textId="77777777" w:rsidR="00F07F6B" w:rsidRPr="00621629" w:rsidRDefault="00F07F6B" w:rsidP="00621629">
            <w:pPr>
              <w:spacing w:before="60" w:after="60" w:line="276" w:lineRule="auto"/>
              <w:rPr>
                <w:rFonts w:eastAsia="Calibri"/>
              </w:rPr>
            </w:pPr>
            <w:bookmarkStart w:id="21" w:name="IndicatorDescription1_3"/>
            <w:bookmarkEnd w:id="21"/>
            <w:r>
              <w:t>Subsections applicable to this service fully attained.</w:t>
            </w:r>
          </w:p>
        </w:tc>
      </w:tr>
    </w:tbl>
    <w:p w14:paraId="03B66BBC" w14:textId="77777777" w:rsidR="00F07F6B" w:rsidRPr="005E14A4" w:rsidRDefault="00F07F6B"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w:t>
      </w:r>
      <w:r w:rsidRPr="00A4268A">
        <w:rPr>
          <w:rFonts w:eastAsia="Calibri"/>
        </w:rPr>
        <w:t>Resident files included medical notes by the contracted general practitioner and visiting allied health professionals. 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The kitchen staff cater to individual cultural and dietary requirements. The servi</w:t>
      </w:r>
      <w:r w:rsidRPr="00A4268A">
        <w:rPr>
          <w:rFonts w:eastAsia="Calibri"/>
        </w:rPr>
        <w:t>ce has a current food control plan. Nutritional snacks are available 24/7. All residents’ transfers and referrals are coordinated with residents and families/whānau.</w:t>
      </w:r>
    </w:p>
    <w:bookmarkEnd w:id="22"/>
    <w:p w14:paraId="084FCD16" w14:textId="77777777" w:rsidR="002A6E80" w:rsidRPr="00A4268A" w:rsidRDefault="002A6E80" w:rsidP="00621629">
      <w:pPr>
        <w:spacing w:before="240" w:line="276" w:lineRule="auto"/>
        <w:rPr>
          <w:rFonts w:eastAsia="Calibri"/>
        </w:rPr>
      </w:pPr>
    </w:p>
    <w:p w14:paraId="787B8AE6" w14:textId="77777777" w:rsidR="00F07F6B" w:rsidRDefault="00F07F6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6E80" w14:paraId="1428E571" w14:textId="77777777" w:rsidTr="00A4268A">
        <w:trPr>
          <w:cantSplit/>
        </w:trPr>
        <w:tc>
          <w:tcPr>
            <w:tcW w:w="10206" w:type="dxa"/>
            <w:vAlign w:val="center"/>
          </w:tcPr>
          <w:p w14:paraId="368C8574" w14:textId="77777777" w:rsidR="00F07F6B" w:rsidRPr="00621629" w:rsidRDefault="00F07F6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7E87C32" w14:textId="77777777" w:rsidR="00F07F6B" w:rsidRPr="00621629" w:rsidRDefault="00F07F6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CF167D3" w14:textId="77777777" w:rsidR="00F07F6B" w:rsidRPr="00621629" w:rsidRDefault="00F07F6B" w:rsidP="00621629">
            <w:pPr>
              <w:spacing w:before="60" w:after="60" w:line="276" w:lineRule="auto"/>
              <w:rPr>
                <w:rFonts w:eastAsia="Calibri"/>
              </w:rPr>
            </w:pPr>
            <w:bookmarkStart w:id="24" w:name="IndicatorDescription1_4"/>
            <w:bookmarkEnd w:id="24"/>
            <w:r>
              <w:t>Subsections applicable to this service fully attained.</w:t>
            </w:r>
          </w:p>
        </w:tc>
      </w:tr>
    </w:tbl>
    <w:p w14:paraId="7FF6E714" w14:textId="77777777" w:rsidR="00F07F6B" w:rsidRDefault="00F07F6B">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3E0BF1F6" w14:textId="77777777" w:rsidR="002A6E80" w:rsidRPr="00A4268A" w:rsidRDefault="002A6E80">
      <w:pPr>
        <w:spacing w:before="240" w:line="276" w:lineRule="auto"/>
        <w:rPr>
          <w:rFonts w:eastAsia="Calibri"/>
        </w:rPr>
      </w:pPr>
    </w:p>
    <w:p w14:paraId="6B4E4268" w14:textId="77777777" w:rsidR="00F07F6B" w:rsidRDefault="00F07F6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6E80" w14:paraId="0F43F40C" w14:textId="77777777" w:rsidTr="00A4268A">
        <w:trPr>
          <w:cantSplit/>
        </w:trPr>
        <w:tc>
          <w:tcPr>
            <w:tcW w:w="10206" w:type="dxa"/>
            <w:vAlign w:val="center"/>
          </w:tcPr>
          <w:p w14:paraId="34567A08" w14:textId="77777777" w:rsidR="00F07F6B" w:rsidRPr="00621629" w:rsidRDefault="00F07F6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4944E42" w14:textId="77777777" w:rsidR="00F07F6B" w:rsidRPr="00621629" w:rsidRDefault="00F07F6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88B3382" w14:textId="77777777" w:rsidR="00F07F6B" w:rsidRPr="00621629" w:rsidRDefault="00F07F6B" w:rsidP="00621629">
            <w:pPr>
              <w:spacing w:before="60" w:after="60" w:line="276" w:lineRule="auto"/>
              <w:rPr>
                <w:rFonts w:eastAsia="Calibri"/>
              </w:rPr>
            </w:pPr>
            <w:bookmarkStart w:id="27" w:name="IndicatorDescription2"/>
            <w:bookmarkEnd w:id="27"/>
            <w:r>
              <w:t>Subsections applicable to this service fully attained.</w:t>
            </w:r>
          </w:p>
        </w:tc>
      </w:tr>
    </w:tbl>
    <w:p w14:paraId="3CF6208A" w14:textId="77777777" w:rsidR="00F07F6B" w:rsidRDefault="00F07F6B">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Surveillance data is undertaken, including the use of standardised surveillance definitions and ethnicity data. Infection incidents are collected and analysed for trends and the information used to identify opportunities for improvements. Benchmarking occurs. There have been seven outbreaks (two Norovirus, one scabies, one gastro and three Covid-19) recorded and reported on since</w:t>
      </w:r>
      <w:r w:rsidRPr="00A4268A">
        <w:rPr>
          <w:rFonts w:eastAsia="Calibri"/>
        </w:rPr>
        <w:t xml:space="preserve"> the last audit. </w:t>
      </w:r>
    </w:p>
    <w:bookmarkEnd w:id="28"/>
    <w:p w14:paraId="494B201B" w14:textId="77777777" w:rsidR="002A6E80" w:rsidRPr="00A4268A" w:rsidRDefault="002A6E80">
      <w:pPr>
        <w:spacing w:before="240" w:line="276" w:lineRule="auto"/>
        <w:rPr>
          <w:rFonts w:eastAsia="Calibri"/>
        </w:rPr>
      </w:pPr>
    </w:p>
    <w:p w14:paraId="621B7AB5" w14:textId="77777777" w:rsidR="00F07F6B" w:rsidRDefault="00F07F6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6E80" w14:paraId="1B97615A" w14:textId="77777777" w:rsidTr="00A4268A">
        <w:trPr>
          <w:cantSplit/>
        </w:trPr>
        <w:tc>
          <w:tcPr>
            <w:tcW w:w="10206" w:type="dxa"/>
            <w:vAlign w:val="center"/>
          </w:tcPr>
          <w:p w14:paraId="533F55DB" w14:textId="77777777" w:rsidR="00F07F6B" w:rsidRPr="00621629" w:rsidRDefault="00F07F6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FCDA62C" w14:textId="77777777" w:rsidR="00F07F6B" w:rsidRPr="00621629" w:rsidRDefault="00F07F6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F6CCA3D" w14:textId="77777777" w:rsidR="00F07F6B" w:rsidRPr="00621629" w:rsidRDefault="00F07F6B" w:rsidP="00621629">
            <w:pPr>
              <w:spacing w:before="60" w:after="60" w:line="276" w:lineRule="auto"/>
              <w:rPr>
                <w:rFonts w:eastAsia="Calibri"/>
              </w:rPr>
            </w:pPr>
            <w:bookmarkStart w:id="30" w:name="IndicatorDescription3"/>
            <w:bookmarkEnd w:id="30"/>
            <w:r>
              <w:t>Subsections applicable to this service fully attained.</w:t>
            </w:r>
          </w:p>
        </w:tc>
      </w:tr>
    </w:tbl>
    <w:p w14:paraId="197E6F59" w14:textId="77777777" w:rsidR="00F07F6B" w:rsidRDefault="00F07F6B">
      <w:pPr>
        <w:spacing w:before="240" w:line="276" w:lineRule="auto"/>
        <w:rPr>
          <w:rFonts w:eastAsia="Calibri"/>
        </w:rPr>
      </w:pPr>
      <w:bookmarkStart w:id="31" w:name="InfectionPreventionAndControl"/>
      <w:r w:rsidRPr="00A4268A">
        <w:rPr>
          <w:rFonts w:eastAsia="Calibri"/>
        </w:rPr>
        <w:t>The restraint coordinator is the clinical manager who is a registered nurse. The facility had no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22825EE8" w14:textId="77777777" w:rsidR="002A6E80" w:rsidRPr="00A4268A" w:rsidRDefault="002A6E80">
      <w:pPr>
        <w:spacing w:before="240" w:line="276" w:lineRule="auto"/>
        <w:rPr>
          <w:rFonts w:eastAsia="Calibri"/>
        </w:rPr>
      </w:pPr>
    </w:p>
    <w:p w14:paraId="7E7FBF3F" w14:textId="77777777" w:rsidR="00F07F6B" w:rsidRDefault="00F07F6B" w:rsidP="000E6E02">
      <w:pPr>
        <w:pStyle w:val="Heading2"/>
        <w:spacing w:before="0"/>
        <w:rPr>
          <w:rFonts w:cs="Arial"/>
        </w:rPr>
      </w:pPr>
      <w:r>
        <w:rPr>
          <w:rFonts w:cs="Arial"/>
        </w:rPr>
        <w:t>Summary of attainment</w:t>
      </w:r>
    </w:p>
    <w:p w14:paraId="05D8D358" w14:textId="77777777" w:rsidR="00F07F6B" w:rsidRDefault="00F07F6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A6E80" w14:paraId="2ED2F6B6" w14:textId="77777777">
        <w:tc>
          <w:tcPr>
            <w:tcW w:w="1384" w:type="dxa"/>
            <w:vAlign w:val="center"/>
          </w:tcPr>
          <w:p w14:paraId="6A308965" w14:textId="77777777" w:rsidR="00F07F6B" w:rsidRDefault="00F07F6B">
            <w:pPr>
              <w:keepNext/>
              <w:spacing w:before="60" w:after="60"/>
              <w:rPr>
                <w:rFonts w:cs="Arial"/>
                <w:b/>
                <w:sz w:val="20"/>
                <w:szCs w:val="20"/>
              </w:rPr>
            </w:pPr>
            <w:r>
              <w:rPr>
                <w:rFonts w:cs="Arial"/>
                <w:b/>
                <w:sz w:val="20"/>
                <w:szCs w:val="20"/>
              </w:rPr>
              <w:t>Attainment Rating</w:t>
            </w:r>
          </w:p>
        </w:tc>
        <w:tc>
          <w:tcPr>
            <w:tcW w:w="1701" w:type="dxa"/>
            <w:vAlign w:val="center"/>
          </w:tcPr>
          <w:p w14:paraId="6313CAE5" w14:textId="77777777" w:rsidR="00F07F6B" w:rsidRDefault="00F07F6B">
            <w:pPr>
              <w:keepNext/>
              <w:spacing w:before="60" w:after="60"/>
              <w:jc w:val="center"/>
              <w:rPr>
                <w:rFonts w:cs="Arial"/>
                <w:b/>
                <w:sz w:val="20"/>
                <w:szCs w:val="20"/>
              </w:rPr>
            </w:pPr>
            <w:r>
              <w:rPr>
                <w:rFonts w:cs="Arial"/>
                <w:b/>
                <w:sz w:val="20"/>
                <w:szCs w:val="20"/>
              </w:rPr>
              <w:t>Continuous Improvement</w:t>
            </w:r>
          </w:p>
          <w:p w14:paraId="095B9FEB" w14:textId="77777777" w:rsidR="00F07F6B" w:rsidRDefault="00F07F6B">
            <w:pPr>
              <w:keepNext/>
              <w:spacing w:before="60" w:after="60"/>
              <w:jc w:val="center"/>
              <w:rPr>
                <w:rFonts w:cs="Arial"/>
                <w:b/>
                <w:sz w:val="20"/>
                <w:szCs w:val="20"/>
              </w:rPr>
            </w:pPr>
            <w:r>
              <w:rPr>
                <w:rFonts w:cs="Arial"/>
                <w:b/>
                <w:sz w:val="20"/>
                <w:szCs w:val="20"/>
              </w:rPr>
              <w:t>(CI)</w:t>
            </w:r>
          </w:p>
        </w:tc>
        <w:tc>
          <w:tcPr>
            <w:tcW w:w="1843" w:type="dxa"/>
            <w:vAlign w:val="center"/>
          </w:tcPr>
          <w:p w14:paraId="1B129CFE" w14:textId="77777777" w:rsidR="00F07F6B" w:rsidRDefault="00F07F6B">
            <w:pPr>
              <w:keepNext/>
              <w:spacing w:before="60" w:after="60"/>
              <w:jc w:val="center"/>
              <w:rPr>
                <w:rFonts w:cs="Arial"/>
                <w:b/>
                <w:sz w:val="20"/>
                <w:szCs w:val="20"/>
              </w:rPr>
            </w:pPr>
            <w:r>
              <w:rPr>
                <w:rFonts w:cs="Arial"/>
                <w:b/>
                <w:sz w:val="20"/>
                <w:szCs w:val="20"/>
              </w:rPr>
              <w:t>Fully Attained</w:t>
            </w:r>
          </w:p>
          <w:p w14:paraId="341D6C9A" w14:textId="77777777" w:rsidR="00F07F6B" w:rsidRDefault="00F07F6B">
            <w:pPr>
              <w:keepNext/>
              <w:spacing w:before="60" w:after="60"/>
              <w:jc w:val="center"/>
              <w:rPr>
                <w:rFonts w:cs="Arial"/>
                <w:b/>
                <w:sz w:val="20"/>
                <w:szCs w:val="20"/>
              </w:rPr>
            </w:pPr>
            <w:r>
              <w:rPr>
                <w:rFonts w:cs="Arial"/>
                <w:b/>
                <w:sz w:val="20"/>
                <w:szCs w:val="20"/>
              </w:rPr>
              <w:t>(FA)</w:t>
            </w:r>
          </w:p>
        </w:tc>
        <w:tc>
          <w:tcPr>
            <w:tcW w:w="1843" w:type="dxa"/>
            <w:vAlign w:val="center"/>
          </w:tcPr>
          <w:p w14:paraId="67DC2FDA" w14:textId="77777777" w:rsidR="00F07F6B" w:rsidRDefault="00F07F6B">
            <w:pPr>
              <w:keepNext/>
              <w:spacing w:before="60" w:after="60"/>
              <w:jc w:val="center"/>
              <w:rPr>
                <w:rFonts w:cs="Arial"/>
                <w:b/>
                <w:sz w:val="20"/>
                <w:szCs w:val="20"/>
              </w:rPr>
            </w:pPr>
            <w:r>
              <w:rPr>
                <w:rFonts w:cs="Arial"/>
                <w:b/>
                <w:sz w:val="20"/>
                <w:szCs w:val="20"/>
              </w:rPr>
              <w:t>Partially Attained Negligible Risk</w:t>
            </w:r>
          </w:p>
          <w:p w14:paraId="0524AB38" w14:textId="77777777" w:rsidR="00F07F6B" w:rsidRDefault="00F07F6B">
            <w:pPr>
              <w:keepNext/>
              <w:spacing w:before="60" w:after="60"/>
              <w:jc w:val="center"/>
              <w:rPr>
                <w:rFonts w:cs="Arial"/>
                <w:b/>
                <w:sz w:val="20"/>
                <w:szCs w:val="20"/>
              </w:rPr>
            </w:pPr>
            <w:r>
              <w:rPr>
                <w:rFonts w:cs="Arial"/>
                <w:b/>
                <w:sz w:val="20"/>
                <w:szCs w:val="20"/>
              </w:rPr>
              <w:t>(PA Negligible)</w:t>
            </w:r>
          </w:p>
        </w:tc>
        <w:tc>
          <w:tcPr>
            <w:tcW w:w="1842" w:type="dxa"/>
            <w:vAlign w:val="center"/>
          </w:tcPr>
          <w:p w14:paraId="6AC941D5" w14:textId="77777777" w:rsidR="00F07F6B" w:rsidRDefault="00F07F6B">
            <w:pPr>
              <w:keepNext/>
              <w:spacing w:before="60" w:after="60"/>
              <w:jc w:val="center"/>
              <w:rPr>
                <w:rFonts w:cs="Arial"/>
                <w:b/>
                <w:sz w:val="20"/>
                <w:szCs w:val="20"/>
              </w:rPr>
            </w:pPr>
            <w:r>
              <w:rPr>
                <w:rFonts w:cs="Arial"/>
                <w:b/>
                <w:sz w:val="20"/>
                <w:szCs w:val="20"/>
              </w:rPr>
              <w:t>Partially Attained Low Risk</w:t>
            </w:r>
          </w:p>
          <w:p w14:paraId="45EF74F3" w14:textId="77777777" w:rsidR="00F07F6B" w:rsidRDefault="00F07F6B">
            <w:pPr>
              <w:keepNext/>
              <w:spacing w:before="60" w:after="60"/>
              <w:jc w:val="center"/>
              <w:rPr>
                <w:rFonts w:cs="Arial"/>
                <w:b/>
                <w:sz w:val="20"/>
                <w:szCs w:val="20"/>
              </w:rPr>
            </w:pPr>
            <w:r>
              <w:rPr>
                <w:rFonts w:cs="Arial"/>
                <w:b/>
                <w:sz w:val="20"/>
                <w:szCs w:val="20"/>
              </w:rPr>
              <w:t>(PA Low)</w:t>
            </w:r>
          </w:p>
        </w:tc>
        <w:tc>
          <w:tcPr>
            <w:tcW w:w="1843" w:type="dxa"/>
            <w:vAlign w:val="center"/>
          </w:tcPr>
          <w:p w14:paraId="0E666FC3" w14:textId="77777777" w:rsidR="00F07F6B" w:rsidRDefault="00F07F6B">
            <w:pPr>
              <w:keepNext/>
              <w:spacing w:before="60" w:after="60"/>
              <w:jc w:val="center"/>
              <w:rPr>
                <w:rFonts w:cs="Arial"/>
                <w:b/>
                <w:sz w:val="20"/>
                <w:szCs w:val="20"/>
              </w:rPr>
            </w:pPr>
            <w:r>
              <w:rPr>
                <w:rFonts w:cs="Arial"/>
                <w:b/>
                <w:sz w:val="20"/>
                <w:szCs w:val="20"/>
              </w:rPr>
              <w:t>Partially Attained Moderate Risk</w:t>
            </w:r>
          </w:p>
          <w:p w14:paraId="0ADA4B62" w14:textId="77777777" w:rsidR="00F07F6B" w:rsidRDefault="00F07F6B">
            <w:pPr>
              <w:keepNext/>
              <w:spacing w:before="60" w:after="60"/>
              <w:jc w:val="center"/>
              <w:rPr>
                <w:rFonts w:cs="Arial"/>
                <w:b/>
                <w:sz w:val="20"/>
                <w:szCs w:val="20"/>
              </w:rPr>
            </w:pPr>
            <w:r>
              <w:rPr>
                <w:rFonts w:cs="Arial"/>
                <w:b/>
                <w:sz w:val="20"/>
                <w:szCs w:val="20"/>
              </w:rPr>
              <w:t>(PA Moderate)</w:t>
            </w:r>
          </w:p>
        </w:tc>
        <w:tc>
          <w:tcPr>
            <w:tcW w:w="1843" w:type="dxa"/>
            <w:vAlign w:val="center"/>
          </w:tcPr>
          <w:p w14:paraId="738AA346" w14:textId="77777777" w:rsidR="00F07F6B" w:rsidRDefault="00F07F6B">
            <w:pPr>
              <w:keepNext/>
              <w:spacing w:before="60" w:after="60"/>
              <w:jc w:val="center"/>
              <w:rPr>
                <w:rFonts w:cs="Arial"/>
                <w:b/>
                <w:sz w:val="20"/>
                <w:szCs w:val="20"/>
              </w:rPr>
            </w:pPr>
            <w:r>
              <w:rPr>
                <w:rFonts w:cs="Arial"/>
                <w:b/>
                <w:sz w:val="20"/>
                <w:szCs w:val="20"/>
              </w:rPr>
              <w:t>Partially Attained High Risk</w:t>
            </w:r>
          </w:p>
          <w:p w14:paraId="28A6A8DF" w14:textId="77777777" w:rsidR="00F07F6B" w:rsidRDefault="00F07F6B">
            <w:pPr>
              <w:keepNext/>
              <w:spacing w:before="60" w:after="60"/>
              <w:jc w:val="center"/>
              <w:rPr>
                <w:rFonts w:cs="Arial"/>
                <w:b/>
                <w:sz w:val="20"/>
                <w:szCs w:val="20"/>
              </w:rPr>
            </w:pPr>
            <w:r>
              <w:rPr>
                <w:rFonts w:cs="Arial"/>
                <w:b/>
                <w:sz w:val="20"/>
                <w:szCs w:val="20"/>
              </w:rPr>
              <w:t>(PA High)</w:t>
            </w:r>
          </w:p>
        </w:tc>
        <w:tc>
          <w:tcPr>
            <w:tcW w:w="1843" w:type="dxa"/>
            <w:vAlign w:val="center"/>
          </w:tcPr>
          <w:p w14:paraId="1CA930FB" w14:textId="77777777" w:rsidR="00F07F6B" w:rsidRDefault="00F07F6B">
            <w:pPr>
              <w:keepNext/>
              <w:spacing w:before="60" w:after="60"/>
              <w:jc w:val="center"/>
              <w:rPr>
                <w:rFonts w:cs="Arial"/>
                <w:b/>
                <w:sz w:val="20"/>
                <w:szCs w:val="20"/>
              </w:rPr>
            </w:pPr>
            <w:r>
              <w:rPr>
                <w:rFonts w:cs="Arial"/>
                <w:b/>
                <w:sz w:val="20"/>
                <w:szCs w:val="20"/>
              </w:rPr>
              <w:t>Partially Attained Critical Risk</w:t>
            </w:r>
          </w:p>
          <w:p w14:paraId="21C8C8FB" w14:textId="77777777" w:rsidR="00F07F6B" w:rsidRDefault="00F07F6B">
            <w:pPr>
              <w:keepNext/>
              <w:spacing w:before="60" w:after="60"/>
              <w:jc w:val="center"/>
              <w:rPr>
                <w:rFonts w:cs="Arial"/>
                <w:b/>
                <w:sz w:val="20"/>
                <w:szCs w:val="20"/>
              </w:rPr>
            </w:pPr>
            <w:r>
              <w:rPr>
                <w:rFonts w:cs="Arial"/>
                <w:b/>
                <w:sz w:val="20"/>
                <w:szCs w:val="20"/>
              </w:rPr>
              <w:t>(PA Critical)</w:t>
            </w:r>
          </w:p>
        </w:tc>
      </w:tr>
      <w:tr w:rsidR="002A6E80" w14:paraId="3CF155E5" w14:textId="77777777">
        <w:tc>
          <w:tcPr>
            <w:tcW w:w="1384" w:type="dxa"/>
            <w:vAlign w:val="center"/>
          </w:tcPr>
          <w:p w14:paraId="6E4F806D" w14:textId="77777777" w:rsidR="00F07F6B" w:rsidRDefault="00F07F6B">
            <w:pPr>
              <w:keepNext/>
              <w:spacing w:before="60" w:after="60"/>
              <w:rPr>
                <w:rFonts w:cs="Arial"/>
                <w:b/>
                <w:sz w:val="20"/>
                <w:szCs w:val="20"/>
              </w:rPr>
            </w:pPr>
            <w:r>
              <w:rPr>
                <w:rFonts w:cs="Arial"/>
                <w:b/>
                <w:sz w:val="20"/>
                <w:szCs w:val="20"/>
              </w:rPr>
              <w:t>Subsection</w:t>
            </w:r>
          </w:p>
        </w:tc>
        <w:tc>
          <w:tcPr>
            <w:tcW w:w="1701" w:type="dxa"/>
            <w:vAlign w:val="center"/>
          </w:tcPr>
          <w:p w14:paraId="7AFECD68" w14:textId="77777777" w:rsidR="00F07F6B" w:rsidRDefault="00F07F6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1AF9B5" w14:textId="77777777" w:rsidR="00F07F6B" w:rsidRDefault="00F07F6B"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1EA5005" w14:textId="77777777" w:rsidR="00F07F6B" w:rsidRDefault="00F07F6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0CC3A8" w14:textId="77777777" w:rsidR="00F07F6B" w:rsidRDefault="00F07F6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5BAD6D3" w14:textId="77777777" w:rsidR="00F07F6B" w:rsidRDefault="00F07F6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D051D8" w14:textId="77777777" w:rsidR="00F07F6B" w:rsidRDefault="00F07F6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1E0823E" w14:textId="77777777" w:rsidR="00F07F6B" w:rsidRDefault="00F07F6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A6E80" w14:paraId="3D20A146" w14:textId="77777777">
        <w:tc>
          <w:tcPr>
            <w:tcW w:w="1384" w:type="dxa"/>
            <w:vAlign w:val="center"/>
          </w:tcPr>
          <w:p w14:paraId="11791613" w14:textId="77777777" w:rsidR="00F07F6B" w:rsidRDefault="00F07F6B">
            <w:pPr>
              <w:keepNext/>
              <w:spacing w:before="60" w:after="60"/>
              <w:rPr>
                <w:rFonts w:cs="Arial"/>
                <w:b/>
                <w:sz w:val="20"/>
                <w:szCs w:val="20"/>
              </w:rPr>
            </w:pPr>
            <w:r>
              <w:rPr>
                <w:rFonts w:cs="Arial"/>
                <w:b/>
                <w:sz w:val="20"/>
                <w:szCs w:val="20"/>
              </w:rPr>
              <w:t>Criteria</w:t>
            </w:r>
          </w:p>
        </w:tc>
        <w:tc>
          <w:tcPr>
            <w:tcW w:w="1701" w:type="dxa"/>
            <w:vAlign w:val="center"/>
          </w:tcPr>
          <w:p w14:paraId="6D508F3F" w14:textId="77777777" w:rsidR="00F07F6B" w:rsidRDefault="00F07F6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6945481" w14:textId="77777777" w:rsidR="00F07F6B" w:rsidRDefault="00F07F6B"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437AB301" w14:textId="77777777" w:rsidR="00F07F6B" w:rsidRDefault="00F07F6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531F48B" w14:textId="77777777" w:rsidR="00F07F6B" w:rsidRDefault="00F07F6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87F67C3" w14:textId="77777777" w:rsidR="00F07F6B" w:rsidRDefault="00F07F6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ABC99ED" w14:textId="77777777" w:rsidR="00F07F6B" w:rsidRDefault="00F07F6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069FD21" w14:textId="77777777" w:rsidR="00F07F6B" w:rsidRDefault="00F07F6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D7BC71" w14:textId="77777777" w:rsidR="00F07F6B" w:rsidRDefault="00F07F6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A6E80" w14:paraId="1520C54D" w14:textId="77777777">
        <w:tc>
          <w:tcPr>
            <w:tcW w:w="1384" w:type="dxa"/>
            <w:vAlign w:val="center"/>
          </w:tcPr>
          <w:p w14:paraId="1A6515DE" w14:textId="77777777" w:rsidR="00F07F6B" w:rsidRDefault="00F07F6B">
            <w:pPr>
              <w:keepNext/>
              <w:spacing w:before="60" w:after="60"/>
              <w:rPr>
                <w:rFonts w:cs="Arial"/>
                <w:b/>
                <w:sz w:val="20"/>
                <w:szCs w:val="20"/>
              </w:rPr>
            </w:pPr>
            <w:r>
              <w:rPr>
                <w:rFonts w:cs="Arial"/>
                <w:b/>
                <w:sz w:val="20"/>
                <w:szCs w:val="20"/>
              </w:rPr>
              <w:t>Attainment Rating</w:t>
            </w:r>
          </w:p>
        </w:tc>
        <w:tc>
          <w:tcPr>
            <w:tcW w:w="1701" w:type="dxa"/>
            <w:vAlign w:val="center"/>
          </w:tcPr>
          <w:p w14:paraId="33049ED2" w14:textId="77777777" w:rsidR="00F07F6B" w:rsidRDefault="00F07F6B">
            <w:pPr>
              <w:keepNext/>
              <w:spacing w:before="60" w:after="60"/>
              <w:jc w:val="center"/>
              <w:rPr>
                <w:rFonts w:cs="Arial"/>
                <w:b/>
                <w:sz w:val="20"/>
                <w:szCs w:val="20"/>
              </w:rPr>
            </w:pPr>
            <w:r>
              <w:rPr>
                <w:rFonts w:cs="Arial"/>
                <w:b/>
                <w:sz w:val="20"/>
                <w:szCs w:val="20"/>
              </w:rPr>
              <w:t>Unattained Negligible Risk</w:t>
            </w:r>
          </w:p>
          <w:p w14:paraId="534DA878" w14:textId="77777777" w:rsidR="00F07F6B" w:rsidRDefault="00F07F6B">
            <w:pPr>
              <w:keepNext/>
              <w:spacing w:before="60" w:after="60"/>
              <w:jc w:val="center"/>
              <w:rPr>
                <w:rFonts w:cs="Arial"/>
                <w:b/>
                <w:sz w:val="20"/>
                <w:szCs w:val="20"/>
              </w:rPr>
            </w:pPr>
            <w:r>
              <w:rPr>
                <w:rFonts w:cs="Arial"/>
                <w:b/>
                <w:sz w:val="20"/>
                <w:szCs w:val="20"/>
              </w:rPr>
              <w:t>(UA Negligible)</w:t>
            </w:r>
          </w:p>
        </w:tc>
        <w:tc>
          <w:tcPr>
            <w:tcW w:w="1843" w:type="dxa"/>
            <w:vAlign w:val="center"/>
          </w:tcPr>
          <w:p w14:paraId="6544D6B0" w14:textId="77777777" w:rsidR="00F07F6B" w:rsidRDefault="00F07F6B">
            <w:pPr>
              <w:keepNext/>
              <w:spacing w:before="60" w:after="60"/>
              <w:jc w:val="center"/>
              <w:rPr>
                <w:rFonts w:cs="Arial"/>
                <w:b/>
                <w:sz w:val="20"/>
                <w:szCs w:val="20"/>
              </w:rPr>
            </w:pPr>
            <w:r>
              <w:rPr>
                <w:rFonts w:cs="Arial"/>
                <w:b/>
                <w:sz w:val="20"/>
                <w:szCs w:val="20"/>
              </w:rPr>
              <w:t>Unattained Low Risk</w:t>
            </w:r>
          </w:p>
          <w:p w14:paraId="1CED08A3" w14:textId="77777777" w:rsidR="00F07F6B" w:rsidRDefault="00F07F6B">
            <w:pPr>
              <w:keepNext/>
              <w:spacing w:before="60" w:after="60"/>
              <w:jc w:val="center"/>
              <w:rPr>
                <w:rFonts w:cs="Arial"/>
                <w:b/>
                <w:sz w:val="20"/>
                <w:szCs w:val="20"/>
              </w:rPr>
            </w:pPr>
            <w:r>
              <w:rPr>
                <w:rFonts w:cs="Arial"/>
                <w:b/>
                <w:sz w:val="20"/>
                <w:szCs w:val="20"/>
              </w:rPr>
              <w:t>(UA Low)</w:t>
            </w:r>
          </w:p>
        </w:tc>
        <w:tc>
          <w:tcPr>
            <w:tcW w:w="1843" w:type="dxa"/>
            <w:vAlign w:val="center"/>
          </w:tcPr>
          <w:p w14:paraId="4C7121DE" w14:textId="77777777" w:rsidR="00F07F6B" w:rsidRDefault="00F07F6B">
            <w:pPr>
              <w:keepNext/>
              <w:spacing w:before="60" w:after="60"/>
              <w:jc w:val="center"/>
              <w:rPr>
                <w:rFonts w:cs="Arial"/>
                <w:b/>
                <w:sz w:val="20"/>
                <w:szCs w:val="20"/>
              </w:rPr>
            </w:pPr>
            <w:r>
              <w:rPr>
                <w:rFonts w:cs="Arial"/>
                <w:b/>
                <w:sz w:val="20"/>
                <w:szCs w:val="20"/>
              </w:rPr>
              <w:t>Unattained Moderate Risk</w:t>
            </w:r>
          </w:p>
          <w:p w14:paraId="2B2D1485" w14:textId="77777777" w:rsidR="00F07F6B" w:rsidRDefault="00F07F6B">
            <w:pPr>
              <w:keepNext/>
              <w:spacing w:before="60" w:after="60"/>
              <w:jc w:val="center"/>
              <w:rPr>
                <w:rFonts w:cs="Arial"/>
                <w:b/>
                <w:sz w:val="20"/>
                <w:szCs w:val="20"/>
              </w:rPr>
            </w:pPr>
            <w:r>
              <w:rPr>
                <w:rFonts w:cs="Arial"/>
                <w:b/>
                <w:sz w:val="20"/>
                <w:szCs w:val="20"/>
              </w:rPr>
              <w:t>(UA Moderate)</w:t>
            </w:r>
          </w:p>
        </w:tc>
        <w:tc>
          <w:tcPr>
            <w:tcW w:w="1842" w:type="dxa"/>
            <w:vAlign w:val="center"/>
          </w:tcPr>
          <w:p w14:paraId="7B79081B" w14:textId="77777777" w:rsidR="00F07F6B" w:rsidRDefault="00F07F6B">
            <w:pPr>
              <w:keepNext/>
              <w:spacing w:before="60" w:after="60"/>
              <w:jc w:val="center"/>
              <w:rPr>
                <w:rFonts w:cs="Arial"/>
                <w:b/>
                <w:sz w:val="20"/>
                <w:szCs w:val="20"/>
              </w:rPr>
            </w:pPr>
            <w:r>
              <w:rPr>
                <w:rFonts w:cs="Arial"/>
                <w:b/>
                <w:sz w:val="20"/>
                <w:szCs w:val="20"/>
              </w:rPr>
              <w:t>Unattained High Risk</w:t>
            </w:r>
          </w:p>
          <w:p w14:paraId="6D38F32F" w14:textId="77777777" w:rsidR="00F07F6B" w:rsidRDefault="00F07F6B">
            <w:pPr>
              <w:keepNext/>
              <w:spacing w:before="60" w:after="60"/>
              <w:jc w:val="center"/>
              <w:rPr>
                <w:rFonts w:cs="Arial"/>
                <w:b/>
                <w:sz w:val="20"/>
                <w:szCs w:val="20"/>
              </w:rPr>
            </w:pPr>
            <w:r>
              <w:rPr>
                <w:rFonts w:cs="Arial"/>
                <w:b/>
                <w:sz w:val="20"/>
                <w:szCs w:val="20"/>
              </w:rPr>
              <w:t>(UA High)</w:t>
            </w:r>
          </w:p>
        </w:tc>
        <w:tc>
          <w:tcPr>
            <w:tcW w:w="1843" w:type="dxa"/>
            <w:vAlign w:val="center"/>
          </w:tcPr>
          <w:p w14:paraId="3CD64A2F" w14:textId="77777777" w:rsidR="00F07F6B" w:rsidRDefault="00F07F6B">
            <w:pPr>
              <w:keepNext/>
              <w:spacing w:before="60" w:after="60"/>
              <w:jc w:val="center"/>
              <w:rPr>
                <w:rFonts w:cs="Arial"/>
                <w:b/>
                <w:sz w:val="20"/>
                <w:szCs w:val="20"/>
              </w:rPr>
            </w:pPr>
            <w:r>
              <w:rPr>
                <w:rFonts w:cs="Arial"/>
                <w:b/>
                <w:sz w:val="20"/>
                <w:szCs w:val="20"/>
              </w:rPr>
              <w:t>Unattained Critical Risk</w:t>
            </w:r>
          </w:p>
          <w:p w14:paraId="03E8CD83" w14:textId="77777777" w:rsidR="00F07F6B" w:rsidRDefault="00F07F6B">
            <w:pPr>
              <w:keepNext/>
              <w:spacing w:before="60" w:after="60"/>
              <w:jc w:val="center"/>
              <w:rPr>
                <w:rFonts w:cs="Arial"/>
                <w:b/>
                <w:sz w:val="20"/>
                <w:szCs w:val="20"/>
              </w:rPr>
            </w:pPr>
            <w:r>
              <w:rPr>
                <w:rFonts w:cs="Arial"/>
                <w:b/>
                <w:sz w:val="20"/>
                <w:szCs w:val="20"/>
              </w:rPr>
              <w:t>(UA Critical)</w:t>
            </w:r>
          </w:p>
        </w:tc>
      </w:tr>
      <w:tr w:rsidR="002A6E80" w14:paraId="2C00C419" w14:textId="77777777">
        <w:tc>
          <w:tcPr>
            <w:tcW w:w="1384" w:type="dxa"/>
            <w:vAlign w:val="center"/>
          </w:tcPr>
          <w:p w14:paraId="253DE2FB" w14:textId="77777777" w:rsidR="00F07F6B" w:rsidRDefault="00F07F6B">
            <w:pPr>
              <w:keepNext/>
              <w:spacing w:before="60" w:after="60"/>
              <w:rPr>
                <w:rFonts w:cs="Arial"/>
                <w:b/>
                <w:sz w:val="20"/>
                <w:szCs w:val="20"/>
              </w:rPr>
            </w:pPr>
            <w:r>
              <w:rPr>
                <w:rFonts w:cs="Arial"/>
                <w:b/>
                <w:sz w:val="20"/>
                <w:szCs w:val="20"/>
              </w:rPr>
              <w:t>Subsection</w:t>
            </w:r>
          </w:p>
        </w:tc>
        <w:tc>
          <w:tcPr>
            <w:tcW w:w="1701" w:type="dxa"/>
            <w:vAlign w:val="center"/>
          </w:tcPr>
          <w:p w14:paraId="52398003" w14:textId="77777777" w:rsidR="00F07F6B" w:rsidRDefault="00F07F6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2F0E236" w14:textId="77777777" w:rsidR="00F07F6B" w:rsidRDefault="00F07F6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22F367" w14:textId="77777777" w:rsidR="00F07F6B" w:rsidRDefault="00F07F6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DE0A2B1" w14:textId="77777777" w:rsidR="00F07F6B" w:rsidRDefault="00F07F6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CE3CD6" w14:textId="77777777" w:rsidR="00F07F6B" w:rsidRDefault="00F07F6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A6E80" w14:paraId="4D6005C9" w14:textId="77777777">
        <w:tc>
          <w:tcPr>
            <w:tcW w:w="1384" w:type="dxa"/>
            <w:vAlign w:val="center"/>
          </w:tcPr>
          <w:p w14:paraId="346FAB34" w14:textId="77777777" w:rsidR="00F07F6B" w:rsidRDefault="00F07F6B">
            <w:pPr>
              <w:spacing w:before="60" w:after="60"/>
              <w:rPr>
                <w:rFonts w:cs="Arial"/>
                <w:b/>
                <w:sz w:val="20"/>
                <w:szCs w:val="20"/>
              </w:rPr>
            </w:pPr>
            <w:r>
              <w:rPr>
                <w:rFonts w:cs="Arial"/>
                <w:b/>
                <w:sz w:val="20"/>
                <w:szCs w:val="20"/>
              </w:rPr>
              <w:t>Criteria</w:t>
            </w:r>
          </w:p>
        </w:tc>
        <w:tc>
          <w:tcPr>
            <w:tcW w:w="1701" w:type="dxa"/>
            <w:vAlign w:val="center"/>
          </w:tcPr>
          <w:p w14:paraId="3B07C59A" w14:textId="77777777" w:rsidR="00F07F6B" w:rsidRDefault="00F07F6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348B60" w14:textId="77777777" w:rsidR="00F07F6B" w:rsidRDefault="00F07F6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ED3A0F7" w14:textId="77777777" w:rsidR="00F07F6B" w:rsidRDefault="00F07F6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7D2FB52" w14:textId="77777777" w:rsidR="00F07F6B" w:rsidRDefault="00F07F6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4005F96" w14:textId="77777777" w:rsidR="00F07F6B" w:rsidRDefault="00F07F6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7CAD971" w14:textId="77777777" w:rsidR="00F07F6B" w:rsidRDefault="00F07F6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C04B3B2" w14:textId="77777777" w:rsidR="00F07F6B" w:rsidRDefault="00F07F6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B6E8005" w14:textId="77777777" w:rsidR="00F07F6B" w:rsidRDefault="00F07F6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931F6D0" w14:textId="77777777" w:rsidR="00F07F6B" w:rsidRDefault="00F07F6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2A6E80" w14:paraId="67AD1029" w14:textId="77777777">
        <w:tc>
          <w:tcPr>
            <w:tcW w:w="0" w:type="auto"/>
          </w:tcPr>
          <w:p w14:paraId="0CD66FD8" w14:textId="77777777" w:rsidR="00F07F6B" w:rsidRPr="00BE00C7" w:rsidRDefault="00F07F6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98D62B3" w14:textId="77777777" w:rsidR="00F07F6B" w:rsidRPr="00BE00C7" w:rsidRDefault="00F07F6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102D77" w14:textId="77777777" w:rsidR="00F07F6B" w:rsidRPr="00BE00C7" w:rsidRDefault="00F07F6B" w:rsidP="00BE00C7">
            <w:pPr>
              <w:pStyle w:val="OutcomeDescription"/>
              <w:spacing w:before="120" w:after="120"/>
              <w:rPr>
                <w:rFonts w:cs="Arial"/>
                <w:b/>
                <w:lang w:eastAsia="en-NZ"/>
              </w:rPr>
            </w:pPr>
            <w:r w:rsidRPr="00BE00C7">
              <w:rPr>
                <w:rFonts w:cs="Arial"/>
                <w:b/>
                <w:lang w:eastAsia="en-NZ"/>
              </w:rPr>
              <w:t>Audit Evidence</w:t>
            </w:r>
          </w:p>
        </w:tc>
      </w:tr>
      <w:tr w:rsidR="002A6E80" w14:paraId="5CDD3018" w14:textId="77777777">
        <w:tc>
          <w:tcPr>
            <w:tcW w:w="0" w:type="auto"/>
          </w:tcPr>
          <w:p w14:paraId="7551DE3E"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1.1: Pae ora healthy futures</w:t>
            </w:r>
          </w:p>
          <w:p w14:paraId="60C7D932" w14:textId="77777777" w:rsidR="00F07F6B" w:rsidRPr="00BE00C7" w:rsidRDefault="00F07F6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6DE449EC" w14:textId="77777777" w:rsidR="00F07F6B" w:rsidRPr="00BE00C7" w:rsidRDefault="00F07F6B" w:rsidP="00BE00C7">
            <w:pPr>
              <w:pStyle w:val="OutcomeDescription"/>
              <w:spacing w:before="120" w:after="120"/>
              <w:rPr>
                <w:rFonts w:cs="Arial"/>
                <w:lang w:eastAsia="en-NZ"/>
              </w:rPr>
            </w:pPr>
          </w:p>
        </w:tc>
        <w:tc>
          <w:tcPr>
            <w:tcW w:w="0" w:type="auto"/>
          </w:tcPr>
          <w:p w14:paraId="69F4DF1D"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72204974" w14:textId="77777777" w:rsidR="00F07F6B" w:rsidRPr="00BE00C7" w:rsidRDefault="00F07F6B" w:rsidP="00BE00C7">
            <w:pPr>
              <w:pStyle w:val="OutcomeDescription"/>
              <w:spacing w:before="120" w:after="120"/>
              <w:rPr>
                <w:rFonts w:cs="Arial"/>
                <w:lang w:eastAsia="en-NZ"/>
              </w:rPr>
            </w:pPr>
            <w:r w:rsidRPr="00BE00C7">
              <w:rPr>
                <w:rFonts w:cs="Arial"/>
                <w:lang w:eastAsia="en-NZ"/>
              </w:rPr>
              <w:t>A Māori health plan is documented for the service, which Bupa Bethesda Rest Home &amp; Hospital utilise as part of their strategy to embed and enact Te Tiriti o Waitangi in all aspects of service delivery. The service currently has residents who identify as Māori. The service recognises Māori mana motuhake and this is reflected in the Māori health plan.</w:t>
            </w:r>
          </w:p>
          <w:p w14:paraId="5BAED2E3" w14:textId="77777777" w:rsidR="00F07F6B" w:rsidRPr="00BE00C7" w:rsidRDefault="00F07F6B" w:rsidP="00BE00C7">
            <w:pPr>
              <w:pStyle w:val="OutcomeDescription"/>
              <w:spacing w:before="120" w:after="120"/>
              <w:rPr>
                <w:rFonts w:cs="Arial"/>
                <w:lang w:eastAsia="en-NZ"/>
              </w:rPr>
            </w:pPr>
          </w:p>
        </w:tc>
      </w:tr>
      <w:tr w:rsidR="002A6E80" w14:paraId="5AE2CDCE" w14:textId="77777777">
        <w:tc>
          <w:tcPr>
            <w:tcW w:w="0" w:type="auto"/>
          </w:tcPr>
          <w:p w14:paraId="2C8AFC8F"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5468A37" w14:textId="7B7DAF1B" w:rsidR="00F07F6B" w:rsidRPr="00BE00C7" w:rsidRDefault="00F07F6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1E3116C1"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5C42BB7C" w14:textId="77777777" w:rsidR="00F07F6B" w:rsidRPr="00BE00C7" w:rsidRDefault="00F07F6B" w:rsidP="00BE00C7">
            <w:pPr>
              <w:pStyle w:val="OutcomeDescription"/>
              <w:spacing w:before="120" w:after="120"/>
              <w:rPr>
                <w:rFonts w:cs="Arial"/>
                <w:lang w:eastAsia="en-NZ"/>
              </w:rPr>
            </w:pPr>
            <w:r w:rsidRPr="00BE00C7">
              <w:rPr>
                <w:rFonts w:cs="Arial"/>
                <w:lang w:eastAsia="en-NZ"/>
              </w:rPr>
              <w:t>The Ola Manuia Pacific Health and Action Plan and Te Mana Ola are the chosen models for the Pacific health plan and Pathways to Pacific Peoples Health Equity Policy. At the time of the audit there were Pacific staff who could confirm that cultural safety for Pacific peoples, their worldviews, cultural, and spiritual beliefs are embraced at Bupa Bethesda Rest Home &amp; Hospital.</w:t>
            </w:r>
          </w:p>
          <w:p w14:paraId="071F67EE" w14:textId="77777777" w:rsidR="00F07F6B" w:rsidRPr="00BE00C7" w:rsidRDefault="00F07F6B" w:rsidP="00BE00C7">
            <w:pPr>
              <w:pStyle w:val="OutcomeDescription"/>
              <w:spacing w:before="120" w:after="120"/>
              <w:rPr>
                <w:rFonts w:cs="Arial"/>
                <w:lang w:eastAsia="en-NZ"/>
              </w:rPr>
            </w:pPr>
          </w:p>
        </w:tc>
      </w:tr>
      <w:tr w:rsidR="002A6E80" w14:paraId="4187A13F" w14:textId="77777777">
        <w:tc>
          <w:tcPr>
            <w:tcW w:w="0" w:type="auto"/>
          </w:tcPr>
          <w:p w14:paraId="49FE4874"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B2E6434"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DC70577" w14:textId="77777777" w:rsidR="00F07F6B" w:rsidRPr="00BE00C7" w:rsidRDefault="00F07F6B" w:rsidP="00BE00C7">
            <w:pPr>
              <w:pStyle w:val="OutcomeDescription"/>
              <w:spacing w:before="120" w:after="120"/>
              <w:rPr>
                <w:rFonts w:cs="Arial"/>
                <w:lang w:eastAsia="en-NZ"/>
              </w:rPr>
            </w:pPr>
          </w:p>
        </w:tc>
        <w:tc>
          <w:tcPr>
            <w:tcW w:w="0" w:type="auto"/>
          </w:tcPr>
          <w:p w14:paraId="5729999E"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71F7381C" w14:textId="77777777" w:rsidR="00F07F6B" w:rsidRPr="00BE00C7" w:rsidRDefault="00F07F6B"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The interim care home manager and clinical manager interviewed, demonstrated how it is also given in welcome packs in the language most appropriate for the resident, to ensure they are fully informed of their rights. Interviews with four family/whānau (three hospital and one dementia level of care) and six residents (four hospital and two rest home leve</w:t>
            </w:r>
            <w:r w:rsidRPr="00BE00C7">
              <w:rPr>
                <w:rFonts w:cs="Arial"/>
                <w:lang w:eastAsia="en-NZ"/>
              </w:rPr>
              <w:t>l of care) confirmed they are informed of their rights and their choices are respected.</w:t>
            </w:r>
          </w:p>
          <w:p w14:paraId="343071B9" w14:textId="77777777" w:rsidR="00F07F6B" w:rsidRPr="00BE00C7" w:rsidRDefault="00F07F6B" w:rsidP="00BE00C7">
            <w:pPr>
              <w:pStyle w:val="OutcomeDescription"/>
              <w:spacing w:before="120" w:after="120"/>
              <w:rPr>
                <w:rFonts w:cs="Arial"/>
                <w:lang w:eastAsia="en-NZ"/>
              </w:rPr>
            </w:pPr>
          </w:p>
        </w:tc>
      </w:tr>
      <w:tr w:rsidR="002A6E80" w14:paraId="376ED13C" w14:textId="77777777">
        <w:tc>
          <w:tcPr>
            <w:tcW w:w="0" w:type="auto"/>
          </w:tcPr>
          <w:p w14:paraId="0B41BBF7"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1.5: I am protected from abuse</w:t>
            </w:r>
          </w:p>
          <w:p w14:paraId="73D4B08B"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4185BF14" w14:textId="77777777" w:rsidR="00F07F6B" w:rsidRPr="00BE00C7" w:rsidRDefault="00F07F6B" w:rsidP="00BE00C7">
            <w:pPr>
              <w:pStyle w:val="OutcomeDescription"/>
              <w:spacing w:before="120" w:after="120"/>
              <w:rPr>
                <w:rFonts w:cs="Arial"/>
                <w:lang w:eastAsia="en-NZ"/>
              </w:rPr>
            </w:pPr>
          </w:p>
        </w:tc>
        <w:tc>
          <w:tcPr>
            <w:tcW w:w="0" w:type="auto"/>
          </w:tcPr>
          <w:p w14:paraId="43004266"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7C001E9D" w14:textId="77777777" w:rsidR="00F07F6B" w:rsidRPr="00BE00C7" w:rsidRDefault="00F07F6B" w:rsidP="00BE00C7">
            <w:pPr>
              <w:pStyle w:val="OutcomeDescription"/>
              <w:spacing w:before="120" w:after="120"/>
              <w:rPr>
                <w:rFonts w:cs="Arial"/>
                <w:lang w:eastAsia="en-NZ"/>
              </w:rPr>
            </w:pPr>
            <w:r w:rsidRPr="00BE00C7">
              <w:rPr>
                <w:rFonts w:cs="Arial"/>
                <w:lang w:eastAsia="en-NZ"/>
              </w:rPr>
              <w:t>The Bupa organisational policies prevent any form of institutional racism, discrimination, coercion, harassment, or any other exploitation. There are established policies, and protocols to respect resident’s property, including an established process to manage and protect resident finances. All staff at Bupa Bethesda Rest Home &amp; Hospital are trained in and aware of professional boundaries, as evidenced in orientation documents and ongoing education records. Fourteen staff (five caregivers, six registered nu</w:t>
            </w:r>
            <w:r w:rsidRPr="00BE00C7">
              <w:rPr>
                <w:rFonts w:cs="Arial"/>
                <w:lang w:eastAsia="en-NZ"/>
              </w:rPr>
              <w:t xml:space="preserve">rses (RNs) including two unit coordinators, one cook, one cleaner and one maintenance officer) and management (one interim care home manager and one clinical manager) interviewed demonstrated an understanding of professional boundaries. </w:t>
            </w:r>
          </w:p>
          <w:p w14:paraId="2BA36BE4" w14:textId="77777777" w:rsidR="00F07F6B" w:rsidRPr="00BE00C7" w:rsidRDefault="00F07F6B" w:rsidP="00BE00C7">
            <w:pPr>
              <w:pStyle w:val="OutcomeDescription"/>
              <w:spacing w:before="120" w:after="120"/>
              <w:rPr>
                <w:rFonts w:cs="Arial"/>
                <w:lang w:eastAsia="en-NZ"/>
              </w:rPr>
            </w:pPr>
          </w:p>
        </w:tc>
      </w:tr>
      <w:tr w:rsidR="002A6E80" w14:paraId="3C58D47F" w14:textId="77777777">
        <w:tc>
          <w:tcPr>
            <w:tcW w:w="0" w:type="auto"/>
          </w:tcPr>
          <w:p w14:paraId="315DC89C"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1.7: I am informed and able to make choices</w:t>
            </w:r>
          </w:p>
          <w:p w14:paraId="75E5CC08"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w:t>
            </w:r>
            <w:r w:rsidRPr="00BE00C7">
              <w:rPr>
                <w:rFonts w:cs="Arial"/>
                <w:lang w:eastAsia="en-NZ"/>
              </w:rPr>
              <w:lastRenderedPageBreak/>
              <w:t>to make informed decisions in accordance with their rights and their ability to exercise independence, choice, and control.</w:t>
            </w:r>
          </w:p>
          <w:p w14:paraId="0BD13410" w14:textId="77777777" w:rsidR="00F07F6B" w:rsidRPr="00BE00C7" w:rsidRDefault="00F07F6B" w:rsidP="00BE00C7">
            <w:pPr>
              <w:pStyle w:val="OutcomeDescription"/>
              <w:spacing w:before="120" w:after="120"/>
              <w:rPr>
                <w:rFonts w:cs="Arial"/>
                <w:lang w:eastAsia="en-NZ"/>
              </w:rPr>
            </w:pPr>
          </w:p>
        </w:tc>
        <w:tc>
          <w:tcPr>
            <w:tcW w:w="0" w:type="auto"/>
          </w:tcPr>
          <w:p w14:paraId="73C705AD"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31C312"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Staff and management have a good understanding of the organisational process to ensure informed consent for all residents (including Māori, who may wish to involve whānau for collective decision making). Resident files reviewed and interviews with resident’s family/whānau confirmed their choices regarding decisions and their wellbeing is respected. Appropriately signed consent forms were evident in the residents files reviewed. </w:t>
            </w:r>
          </w:p>
          <w:p w14:paraId="511561E1" w14:textId="77777777" w:rsidR="00F07F6B" w:rsidRPr="00BE00C7" w:rsidRDefault="00F07F6B" w:rsidP="00BE00C7">
            <w:pPr>
              <w:pStyle w:val="OutcomeDescription"/>
              <w:spacing w:before="120" w:after="120"/>
              <w:rPr>
                <w:rFonts w:cs="Arial"/>
                <w:lang w:eastAsia="en-NZ"/>
              </w:rPr>
            </w:pPr>
          </w:p>
        </w:tc>
      </w:tr>
      <w:tr w:rsidR="002A6E80" w14:paraId="1250799C" w14:textId="77777777">
        <w:tc>
          <w:tcPr>
            <w:tcW w:w="0" w:type="auto"/>
          </w:tcPr>
          <w:p w14:paraId="36DCEB39"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1.8: I have the right to complain</w:t>
            </w:r>
          </w:p>
          <w:p w14:paraId="5438B070"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DD5A483" w14:textId="77777777" w:rsidR="00F07F6B" w:rsidRPr="00BE00C7" w:rsidRDefault="00F07F6B" w:rsidP="00BE00C7">
            <w:pPr>
              <w:pStyle w:val="OutcomeDescription"/>
              <w:spacing w:before="120" w:after="120"/>
              <w:rPr>
                <w:rFonts w:cs="Arial"/>
                <w:lang w:eastAsia="en-NZ"/>
              </w:rPr>
            </w:pPr>
          </w:p>
        </w:tc>
        <w:tc>
          <w:tcPr>
            <w:tcW w:w="0" w:type="auto"/>
          </w:tcPr>
          <w:p w14:paraId="2814F7AE"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476E89A1"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Access to complaints forms is located at the entrance to the facility or on request </w:t>
            </w:r>
            <w:r w:rsidRPr="00BE00C7">
              <w:rPr>
                <w:rFonts w:cs="Arial"/>
                <w:lang w:eastAsia="en-NZ"/>
              </w:rPr>
              <w:t xml:space="preserve">from staff. The Code of Health and Disability Services Consumers’ Rights and complaints process is visible, and available in te reo Māori, and English. A complaints register is being maintained which includes all complaints, dates and actions taken. There have been six complaints made in 2023 and four received in 2024 year to date since the previous audit in March 2023. Documentation including follow-up letters and resolution, demonstrates that complaints are being managed in accordance with guidelines set </w:t>
            </w:r>
            <w:r w:rsidRPr="00BE00C7">
              <w:rPr>
                <w:rFonts w:cs="Arial"/>
                <w:lang w:eastAsia="en-NZ"/>
              </w:rPr>
              <w:t>by the Health and Disability Commissioner (HDC).</w:t>
            </w:r>
          </w:p>
          <w:p w14:paraId="76A2C0E6" w14:textId="77777777" w:rsidR="00F07F6B" w:rsidRPr="00BE00C7" w:rsidRDefault="00F07F6B" w:rsidP="00BE00C7">
            <w:pPr>
              <w:pStyle w:val="OutcomeDescription"/>
              <w:spacing w:before="120" w:after="120"/>
              <w:rPr>
                <w:rFonts w:cs="Arial"/>
                <w:lang w:eastAsia="en-NZ"/>
              </w:rPr>
            </w:pPr>
            <w:r w:rsidRPr="00BE00C7">
              <w:rPr>
                <w:rFonts w:cs="Arial"/>
                <w:lang w:eastAsia="en-NZ"/>
              </w:rPr>
              <w:t>Residents or family/whānau making a complaint can involve an independent support person in the process if they choose. The complaints process is linked to advocacy services. Discussions with residents and family members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w:t>
            </w:r>
            <w:r w:rsidRPr="00BE00C7">
              <w:rPr>
                <w:rFonts w:cs="Arial"/>
                <w:lang w:eastAsia="en-NZ"/>
              </w:rPr>
              <w:t>ails are available. The interim care home manager acknowledged their understanding that for Māori, there is a preference for face-to-face communication and to include whānau participation.</w:t>
            </w:r>
          </w:p>
          <w:p w14:paraId="5CCF2878" w14:textId="77777777" w:rsidR="00F07F6B" w:rsidRPr="00BE00C7" w:rsidRDefault="00F07F6B" w:rsidP="00BE00C7">
            <w:pPr>
              <w:pStyle w:val="OutcomeDescription"/>
              <w:spacing w:before="120" w:after="120"/>
              <w:rPr>
                <w:rFonts w:cs="Arial"/>
                <w:lang w:eastAsia="en-NZ"/>
              </w:rPr>
            </w:pPr>
          </w:p>
        </w:tc>
      </w:tr>
      <w:tr w:rsidR="002A6E80" w14:paraId="23A3D2D9" w14:textId="77777777">
        <w:tc>
          <w:tcPr>
            <w:tcW w:w="0" w:type="auto"/>
          </w:tcPr>
          <w:p w14:paraId="34560C5F"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2.1: Governance</w:t>
            </w:r>
          </w:p>
          <w:p w14:paraId="642562EA"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09509303" w14:textId="77777777" w:rsidR="00F07F6B" w:rsidRPr="00BE00C7" w:rsidRDefault="00F07F6B" w:rsidP="00BE00C7">
            <w:pPr>
              <w:pStyle w:val="OutcomeDescription"/>
              <w:spacing w:before="120" w:after="120"/>
              <w:rPr>
                <w:rFonts w:cs="Arial"/>
                <w:lang w:eastAsia="en-NZ"/>
              </w:rPr>
            </w:pPr>
          </w:p>
        </w:tc>
        <w:tc>
          <w:tcPr>
            <w:tcW w:w="0" w:type="auto"/>
          </w:tcPr>
          <w:p w14:paraId="7324920F"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043D96" w14:textId="77777777" w:rsidR="00F07F6B" w:rsidRPr="00BE00C7" w:rsidRDefault="00F07F6B" w:rsidP="00BE00C7">
            <w:pPr>
              <w:pStyle w:val="OutcomeDescription"/>
              <w:spacing w:before="120" w:after="120"/>
              <w:rPr>
                <w:rFonts w:cs="Arial"/>
                <w:lang w:eastAsia="en-NZ"/>
              </w:rPr>
            </w:pPr>
            <w:r w:rsidRPr="00BE00C7">
              <w:rPr>
                <w:rFonts w:cs="Arial"/>
                <w:lang w:eastAsia="en-NZ"/>
              </w:rPr>
              <w:t>Bethesda Rest Home &amp; Hospital is part of the Bupa organisation. The service provides care for up to 90 residents at hospital, rest home and dementia level of care. There is a 45-hospital bed unit (Harewood community) including 20 dual-purpose beds, 25 rest home bed unit (Highsted community), and a 20-bed dementia care unit (Camellia community). Five rest home beds were unavailable at the time of the audit, as they were in the process of being refurbished.</w:t>
            </w:r>
          </w:p>
          <w:p w14:paraId="06BB9251"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At the time of the audit there were 83 residents in total. There were 32 hospital residents, including three residents on a younger person with disabilities (YPD) contract and two residents on a long-term support chronic health contract (LTS-CHC) contract, and 31 rest home residents (11 rest home residents were in the hospital unit dual-purpose beds). There were 20 dementia residents in the dementia unit. All other residents were under the age-related residential care (ARRC) contract.</w:t>
            </w:r>
          </w:p>
          <w:p w14:paraId="64E8D356" w14:textId="77777777" w:rsidR="00F07F6B" w:rsidRPr="00BE00C7" w:rsidRDefault="00F07F6B"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 Clinical, Operations, Finance, Legal, Property, Customer transformation, People, Risk, Corporate Affairs and Technology. This team is guided by Global Bupa strategy, purpose and values, and reports into the Bupa Care Services NZ Boards in New Zealand, and the Bupa Australia &amp; New Zealand (ANZ) Board. There is a New Zealand based managing director that reports to a New Zealand based Board. The directors are knowledgeabl</w:t>
            </w:r>
            <w:r w:rsidRPr="00BE00C7">
              <w:rPr>
                <w:rFonts w:cs="Arial"/>
                <w:lang w:eastAsia="en-NZ"/>
              </w:rPr>
              <w:t xml:space="preserve">e around legislative and contractual requirements and are experienced in the aged care sector. Bupa has a Clinical Governance committee (CGC), Risk and Governance committee (RGC), a learning and development governance committee, and a work health safety governance committee, where analysis and reporting of relevant clinical and quality indicators is discussed in order to improve. </w:t>
            </w:r>
          </w:p>
          <w:p w14:paraId="530086FF" w14:textId="77777777" w:rsidR="00F07F6B" w:rsidRPr="00BE00C7" w:rsidRDefault="00F07F6B" w:rsidP="00BE00C7">
            <w:pPr>
              <w:pStyle w:val="OutcomeDescription"/>
              <w:spacing w:before="120" w:after="120"/>
              <w:rPr>
                <w:rFonts w:cs="Arial"/>
                <w:lang w:eastAsia="en-NZ"/>
              </w:rPr>
            </w:pPr>
            <w:r w:rsidRPr="00BE00C7">
              <w:rPr>
                <w:rFonts w:cs="Arial"/>
                <w:lang w:eastAsia="en-NZ"/>
              </w:rPr>
              <w:t>There is a clinical support improvement team (CSI) that includes clinical specialists in restraint, infections and adverse event investigations and a customer engagement advisor based in head office, to support their facilities with improvement to their service. Furthermore, Bupa undertakes national and regional forums, as well as local and online training, national quality alerts, use of benchmarking quality indicators, and learning from complaints (open casebooks) as ways to share learning and improve qua</w:t>
            </w:r>
            <w:r w:rsidRPr="00BE00C7">
              <w:rPr>
                <w:rFonts w:cs="Arial"/>
                <w:lang w:eastAsia="en-NZ"/>
              </w:rPr>
              <w:t xml:space="preserve">lity of care for Māori and tāngata whaikaha. 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w:t>
            </w:r>
          </w:p>
          <w:p w14:paraId="5647CF09"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Bupa NZ is committed to supporting outcomes for Māori and address barriers to provide equitable service delivery. Goals of the Māori strategy permeates through service delivery and measured as part of the quality programme. The organisation benchmarks quality data within the organisation and with other New Zealand aged care providers. Bupa has an </w:t>
            </w:r>
            <w:r w:rsidRPr="00BE00C7">
              <w:rPr>
                <w:rFonts w:cs="Arial"/>
                <w:lang w:eastAsia="en-NZ"/>
              </w:rPr>
              <w:lastRenderedPageBreak/>
              <w:t xml:space="preserve">overarching strategic plan in place, with clear business goals to support their person-centred philosophy. The business and operational plan is reviewed annually by the leadership team as part of strategy and planning. A vision, mission statement and objectives are in place. Annual goals for Bupa Bethesda Rest Home &amp; Hospital have been determined, which link to the overarching Bupa strategic plan. Goals are regularly reviewed in each bi-monthly quality meeting. </w:t>
            </w:r>
          </w:p>
          <w:p w14:paraId="1BDE636A" w14:textId="77777777" w:rsidR="00F07F6B" w:rsidRPr="00BE00C7" w:rsidRDefault="00F07F6B" w:rsidP="00BE00C7">
            <w:pPr>
              <w:pStyle w:val="OutcomeDescription"/>
              <w:spacing w:before="120" w:after="120"/>
              <w:rPr>
                <w:rFonts w:cs="Arial"/>
                <w:lang w:eastAsia="en-NZ"/>
              </w:rPr>
            </w:pPr>
            <w:r w:rsidRPr="00BE00C7">
              <w:rPr>
                <w:rFonts w:cs="Arial"/>
                <w:lang w:eastAsia="en-NZ"/>
              </w:rPr>
              <w:t>The service has an interim care home manager, who is on a one-year contract covering for maternity leave. She has been in the role since October 2023 and is supported by a clinical manager, who has been in the role since June 2021 and has worked for Bupa Bethesda Rest Home &amp; Hospital since 2016. The interim care home manager and clinical manager are supported by two unit -coordinators, an experienced care team and by the wider Bupa management team, that includes a regional operations manager and quality par</w:t>
            </w:r>
            <w:r w:rsidRPr="00BE00C7">
              <w:rPr>
                <w:rFonts w:cs="Arial"/>
                <w:lang w:eastAsia="en-NZ"/>
              </w:rPr>
              <w:t xml:space="preserve">tner. </w:t>
            </w:r>
          </w:p>
          <w:p w14:paraId="3D989680" w14:textId="77777777" w:rsidR="00F07F6B" w:rsidRPr="00BE00C7" w:rsidRDefault="00F07F6B" w:rsidP="00BE00C7">
            <w:pPr>
              <w:pStyle w:val="OutcomeDescription"/>
              <w:spacing w:before="120" w:after="120"/>
              <w:rPr>
                <w:rFonts w:cs="Arial"/>
                <w:lang w:eastAsia="en-NZ"/>
              </w:rPr>
            </w:pPr>
            <w:r w:rsidRPr="00BE00C7">
              <w:rPr>
                <w:rFonts w:cs="Arial"/>
                <w:lang w:eastAsia="en-NZ"/>
              </w:rPr>
              <w:t>The interim care home manager and clinical manager have completed the required eight hours of training related to managing an aged care facility.</w:t>
            </w:r>
          </w:p>
          <w:p w14:paraId="21D280CC" w14:textId="77777777" w:rsidR="00F07F6B" w:rsidRPr="00BE00C7" w:rsidRDefault="00F07F6B" w:rsidP="00BE00C7">
            <w:pPr>
              <w:pStyle w:val="OutcomeDescription"/>
              <w:spacing w:before="120" w:after="120"/>
              <w:rPr>
                <w:rFonts w:cs="Arial"/>
                <w:lang w:eastAsia="en-NZ"/>
              </w:rPr>
            </w:pPr>
          </w:p>
        </w:tc>
      </w:tr>
      <w:tr w:rsidR="002A6E80" w14:paraId="0333AB57" w14:textId="77777777">
        <w:tc>
          <w:tcPr>
            <w:tcW w:w="0" w:type="auto"/>
          </w:tcPr>
          <w:p w14:paraId="5EDCA646"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1E3A44B"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522BB6C" w14:textId="77777777" w:rsidR="00F07F6B" w:rsidRPr="00BE00C7" w:rsidRDefault="00F07F6B" w:rsidP="00BE00C7">
            <w:pPr>
              <w:pStyle w:val="OutcomeDescription"/>
              <w:spacing w:before="120" w:after="120"/>
              <w:rPr>
                <w:rFonts w:cs="Arial"/>
                <w:lang w:eastAsia="en-NZ"/>
              </w:rPr>
            </w:pPr>
          </w:p>
        </w:tc>
        <w:tc>
          <w:tcPr>
            <w:tcW w:w="0" w:type="auto"/>
          </w:tcPr>
          <w:p w14:paraId="407CE079"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11BC4B51" w14:textId="77777777" w:rsidR="00F07F6B" w:rsidRPr="00BE00C7" w:rsidRDefault="00F07F6B" w:rsidP="00BE00C7">
            <w:pPr>
              <w:pStyle w:val="OutcomeDescription"/>
              <w:spacing w:before="120" w:after="120"/>
              <w:rPr>
                <w:rFonts w:cs="Arial"/>
                <w:lang w:eastAsia="en-NZ"/>
              </w:rPr>
            </w:pPr>
            <w:r w:rsidRPr="00BE00C7">
              <w:rPr>
                <w:rFonts w:cs="Arial"/>
                <w:lang w:eastAsia="en-NZ"/>
              </w:rPr>
              <w:t>Bupa Bethesda Rest Home &amp; Hospital is implementing a quality and risk management programme. The quality and risk management systems include performance monitoring through internal audits and through the collection of clinical indicator data. Bi-monthly quality and staff meetings provide an avenue for discussions in relation to (but not limited to): quality data; health and safety; infection control/pandemic strategies; complaints; staffing; and education. Internal audits, meetings and collation of data were</w:t>
            </w:r>
            <w:r w:rsidRPr="00BE00C7">
              <w:rPr>
                <w:rFonts w:cs="Arial"/>
                <w:lang w:eastAsia="en-NZ"/>
              </w:rPr>
              <w:t xml:space="preserve"> documented as taking place, with corrective actions documented where indicated to address service improvements, and evidence of progress and sign off when achieved. Quality, health and safety goals, and progress towards attainment are discussed at quality and general staff meetings. </w:t>
            </w:r>
          </w:p>
          <w:p w14:paraId="7FA20F3B"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Quality data and trends are added to meeting minutes and held in folders in the staffroom. Corrective actions are discussed at quality meetings to ensure any outstanding matters are addressed, with sign off when completed. Benchmarking occurs on a national level against other Bupa facilities. The 2024 resident and family/whānau satisfaction surveys had been correlated and analysed at head office and indicate that residents have reported high </w:t>
            </w:r>
            <w:r w:rsidRPr="00BE00C7">
              <w:rPr>
                <w:rFonts w:cs="Arial"/>
                <w:lang w:eastAsia="en-NZ"/>
              </w:rPr>
              <w:lastRenderedPageBreak/>
              <w:t xml:space="preserve">levels of satisfaction in most areas of the service provided. Corrective actions have been implemented relating to the food service and activities programme. Results have been communicated to residents in the bi-monthly resident and family/whānau meetings and on the noticeboard at the main entrance. </w:t>
            </w:r>
          </w:p>
          <w:p w14:paraId="072F3C1B"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electronically, and an up-to-date hazard and risk register was reviewed (sighted). Staff are kept informed on health and safety issues in handovers, meetings and via toolbox talks. Electronic entries are completed for each incident/accident and immediate action is documented with any follow-up action(s) required, evidenced in 18 accident/incident forms reviewed. Incident and accident data is collated monthly and analysed. The </w:t>
            </w:r>
            <w:r w:rsidRPr="00BE00C7">
              <w:rPr>
                <w:rFonts w:cs="Arial"/>
                <w:lang w:eastAsia="en-NZ"/>
              </w:rPr>
              <w:t>CSI team generates a report that goes to each operational team/governance team and generates alerts depending on the risk level. Results are discussed in the quality and general staff meetings and at handover. Each event involving a resident reflected a clinical assessment and a timely follow up by an RN.</w:t>
            </w:r>
          </w:p>
          <w:p w14:paraId="3A217A0D" w14:textId="77777777" w:rsidR="00F07F6B" w:rsidRPr="00BE00C7" w:rsidRDefault="00F07F6B" w:rsidP="00BE00C7">
            <w:pPr>
              <w:pStyle w:val="OutcomeDescription"/>
              <w:spacing w:before="120" w:after="120"/>
              <w:rPr>
                <w:rFonts w:cs="Arial"/>
                <w:lang w:eastAsia="en-NZ"/>
              </w:rPr>
            </w:pPr>
            <w:r w:rsidRPr="00BE00C7">
              <w:rPr>
                <w:rFonts w:cs="Arial"/>
                <w:lang w:eastAsia="en-NZ"/>
              </w:rPr>
              <w:t>Discussions with the interim care home manager and clinical manager evidenced awareness of their requirement to notify relevant authorities in relation to essential notifications. There have been Section 31 notifications completed to notify HealthCERT of pressure injuries, missing residents and a resident fall resulting in a fracture. A SAC report for a pressure injury was reported to the Health Safety and Quality Commissioner. There have been seven outbreaks documented since the previous audit, which all w</w:t>
            </w:r>
            <w:r w:rsidRPr="00BE00C7">
              <w:rPr>
                <w:rFonts w:cs="Arial"/>
                <w:lang w:eastAsia="en-NZ"/>
              </w:rPr>
              <w:t>ere appropriately notified.</w:t>
            </w:r>
          </w:p>
          <w:p w14:paraId="31541EF0" w14:textId="77777777" w:rsidR="00F07F6B" w:rsidRPr="00BE00C7" w:rsidRDefault="00F07F6B" w:rsidP="00BE00C7">
            <w:pPr>
              <w:pStyle w:val="OutcomeDescription"/>
              <w:spacing w:before="120" w:after="120"/>
              <w:rPr>
                <w:rFonts w:cs="Arial"/>
                <w:lang w:eastAsia="en-NZ"/>
              </w:rPr>
            </w:pPr>
          </w:p>
        </w:tc>
      </w:tr>
      <w:tr w:rsidR="002A6E80" w14:paraId="71CB5F15" w14:textId="77777777">
        <w:tc>
          <w:tcPr>
            <w:tcW w:w="0" w:type="auto"/>
          </w:tcPr>
          <w:p w14:paraId="7040ED63"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5DFE56F"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79717E1B" w14:textId="77777777" w:rsidR="00F07F6B" w:rsidRPr="00BE00C7" w:rsidRDefault="00F07F6B" w:rsidP="00BE00C7">
            <w:pPr>
              <w:pStyle w:val="OutcomeDescription"/>
              <w:spacing w:before="120" w:after="120"/>
              <w:rPr>
                <w:rFonts w:cs="Arial"/>
                <w:lang w:eastAsia="en-NZ"/>
              </w:rPr>
            </w:pPr>
          </w:p>
        </w:tc>
        <w:tc>
          <w:tcPr>
            <w:tcW w:w="0" w:type="auto"/>
          </w:tcPr>
          <w:p w14:paraId="11FFC726"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C87C1AB"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The roster provides sufficient and appropriate coverage for the effective delivery of care and support. Staff and residents are informed when there are changes to staffing levels, evidenced in staff interviews. The interim care home manager, clinical manager and the two unit-coordinators are available Monday to Friday. They are supported by an experienced RN and caregiver team. On-call cover for all Bupa facilities in the region is covered by a six-week rotation of the regional operations manager, one care </w:t>
            </w:r>
            <w:r w:rsidRPr="00BE00C7">
              <w:rPr>
                <w:rFonts w:cs="Arial"/>
                <w:lang w:eastAsia="en-NZ"/>
              </w:rPr>
              <w:t>home manager and one clinical manager each week.</w:t>
            </w:r>
          </w:p>
          <w:p w14:paraId="1F1D6DD4"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There is an annual education and training schedule completed for 2023 and is being implemented for 2024. The education and training schedule lists compulsory training. Training to care for dementia residents includes person first, dementia second sessions, behaviours of concern, and de-escalation. Clinical topics include medical conditions specific to the YPD residents. External training opportunities for care staff include training through Health New Zealand. Caregivers are encouraged to attain Careerforce</w:t>
            </w:r>
            <w:r w:rsidRPr="00BE00C7">
              <w:rPr>
                <w:rFonts w:cs="Arial"/>
                <w:lang w:eastAsia="en-NZ"/>
              </w:rPr>
              <w:t xml:space="preserve"> training NZQA levels, and 41 of 46 caregivers have attained a level two or above. Ten caregivers work in the dementia unit; six caregivers have attained the relevant unit standards, and four are in progress of completing (all are within the 18-month timeframe for completion). Impromptu toolbox talks have been completed (eg, on skin tear/bruising, outbreak management, pressure injuries and chemical safety). All staff are required to complete competency assessments as part of their orientation. </w:t>
            </w:r>
          </w:p>
          <w:p w14:paraId="470B140A" w14:textId="77777777" w:rsidR="00F07F6B" w:rsidRPr="00BE00C7" w:rsidRDefault="00F07F6B" w:rsidP="00BE00C7">
            <w:pPr>
              <w:pStyle w:val="OutcomeDescription"/>
              <w:spacing w:before="120" w:after="120"/>
              <w:rPr>
                <w:rFonts w:cs="Arial"/>
                <w:lang w:eastAsia="en-NZ"/>
              </w:rPr>
            </w:pPr>
            <w:r w:rsidRPr="00BE00C7">
              <w:rPr>
                <w:rFonts w:cs="Arial"/>
                <w:lang w:eastAsia="en-NZ"/>
              </w:rPr>
              <w:t>All RNs are encouraged to attend the Bupa qualified staff forum each year and to commence and complete a professional development recognition programme (PDRP). A record of completion is maintained on an electronic register. Annual competencies include (but are not limited to) hand hygiene, moving and handling, and correct use of personal protective equipment. Caregivers who have completed NZQA level 4 undertake many of the same competencies as the RN staff (eg, medication administration, controlled drug adm</w:t>
            </w:r>
            <w:r w:rsidRPr="00BE00C7">
              <w:rPr>
                <w:rFonts w:cs="Arial"/>
                <w:lang w:eastAsia="en-NZ"/>
              </w:rPr>
              <w:t>inistration, nebuliser, blood sugar levels and insulin administration, oxygen administration, and wound management). Additional RN specific competencies include subcutaneous fluids, syringe driver, and interRAI assessment competency. At the time of the audit, there were gaps in the completion of annual competencies for RNs and caregivers in relation to restraint, hand hygiene and moving and handling. There are 14 RNs including the clinical manager and two unit-coordinators; 11 of the RN’s are interRAI train</w:t>
            </w:r>
            <w:r w:rsidRPr="00BE00C7">
              <w:rPr>
                <w:rFonts w:cs="Arial"/>
                <w:lang w:eastAsia="en-NZ"/>
              </w:rPr>
              <w:t>ed.</w:t>
            </w:r>
          </w:p>
          <w:p w14:paraId="0F0C9C0D" w14:textId="77777777" w:rsidR="00F07F6B" w:rsidRPr="00BE00C7" w:rsidRDefault="00F07F6B" w:rsidP="00BE00C7">
            <w:pPr>
              <w:pStyle w:val="OutcomeDescription"/>
              <w:spacing w:before="120" w:after="120"/>
              <w:rPr>
                <w:rFonts w:cs="Arial"/>
                <w:lang w:eastAsia="en-NZ"/>
              </w:rPr>
            </w:pPr>
          </w:p>
        </w:tc>
      </w:tr>
      <w:tr w:rsidR="002A6E80" w14:paraId="31D05D2D" w14:textId="77777777">
        <w:tc>
          <w:tcPr>
            <w:tcW w:w="0" w:type="auto"/>
          </w:tcPr>
          <w:p w14:paraId="220BA9F5"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83E343"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w:t>
            </w:r>
            <w:r w:rsidRPr="00BE00C7">
              <w:rPr>
                <w:rFonts w:cs="Arial"/>
                <w:lang w:eastAsia="en-NZ"/>
              </w:rPr>
              <w:lastRenderedPageBreak/>
              <w:t>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2B25137" w14:textId="77777777" w:rsidR="00F07F6B" w:rsidRPr="00BE00C7" w:rsidRDefault="00F07F6B" w:rsidP="00BE00C7">
            <w:pPr>
              <w:pStyle w:val="OutcomeDescription"/>
              <w:spacing w:before="120" w:after="120"/>
              <w:rPr>
                <w:rFonts w:cs="Arial"/>
                <w:lang w:eastAsia="en-NZ"/>
              </w:rPr>
            </w:pPr>
          </w:p>
        </w:tc>
        <w:tc>
          <w:tcPr>
            <w:tcW w:w="0" w:type="auto"/>
          </w:tcPr>
          <w:p w14:paraId="4DE27695"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EC1689"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Six staff files (one </w:t>
            </w:r>
            <w:r w:rsidRPr="00BE00C7">
              <w:rPr>
                <w:rFonts w:cs="Arial"/>
                <w:lang w:eastAsia="en-NZ"/>
              </w:rPr>
              <w:t>clinical manager, one unit coordinator, three caregivers and one cook)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The service has a role-specific orientation programme</w:t>
            </w:r>
            <w:r w:rsidRPr="00BE00C7">
              <w:rPr>
                <w:rFonts w:cs="Arial"/>
                <w:lang w:eastAsia="en-NZ"/>
              </w:rPr>
              <w:t xml:space="preserve"> in </w:t>
            </w:r>
            <w:r w:rsidRPr="00BE00C7">
              <w:rPr>
                <w:rFonts w:cs="Arial"/>
                <w:lang w:eastAsia="en-NZ"/>
              </w:rPr>
              <w:lastRenderedPageBreak/>
              <w:t>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to Māori. All staff who have been employed for a year or more have a current performance appraisal on file.</w:t>
            </w:r>
          </w:p>
          <w:p w14:paraId="13294889" w14:textId="77777777" w:rsidR="00F07F6B" w:rsidRPr="00BE00C7" w:rsidRDefault="00F07F6B" w:rsidP="00BE00C7">
            <w:pPr>
              <w:pStyle w:val="OutcomeDescription"/>
              <w:spacing w:before="120" w:after="120"/>
              <w:rPr>
                <w:rFonts w:cs="Arial"/>
                <w:lang w:eastAsia="en-NZ"/>
              </w:rPr>
            </w:pPr>
          </w:p>
        </w:tc>
      </w:tr>
      <w:tr w:rsidR="002A6E80" w14:paraId="031FD70B" w14:textId="77777777">
        <w:tc>
          <w:tcPr>
            <w:tcW w:w="0" w:type="auto"/>
          </w:tcPr>
          <w:p w14:paraId="21936409"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E717B32"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2900368" w14:textId="77777777" w:rsidR="00F07F6B" w:rsidRPr="00BE00C7" w:rsidRDefault="00F07F6B" w:rsidP="00BE00C7">
            <w:pPr>
              <w:pStyle w:val="OutcomeDescription"/>
              <w:spacing w:before="120" w:after="120"/>
              <w:rPr>
                <w:rFonts w:cs="Arial"/>
                <w:lang w:eastAsia="en-NZ"/>
              </w:rPr>
            </w:pPr>
          </w:p>
        </w:tc>
        <w:tc>
          <w:tcPr>
            <w:tcW w:w="0" w:type="auto"/>
          </w:tcPr>
          <w:p w14:paraId="79DF893D"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0FA0EEE9"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Six resident files were reviewed: one dementia, three hospital (including one resident on a YPD contract and one resident on a LTS- CHC contract), and two rest home resident files. The RNs are responsible for all residents’ assessments, care planning and evaluation of care. Care plans are based on data collected during the initial nursing assessments, which include dietary needs, pressure injury, falls risk, social history, and information from pre-entry assessments. </w:t>
            </w:r>
          </w:p>
          <w:p w14:paraId="2BFA1CF7" w14:textId="77777777" w:rsidR="00F07F6B" w:rsidRPr="00BE00C7" w:rsidRDefault="00F07F6B"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 and preferences. In the resident files reviewed, all interRAI assessments, reassessments, long-term care plans, and evaluations have been completed within expected timeframes. The previous shortfall (#3.2.1) has been addressed. The individualised long-term care plans (LTCPs) are developed with information gathered during the initial assessments and the interRAI assessment. The LTCPs are developed by RNs and are holis</w:t>
            </w:r>
            <w:r w:rsidRPr="00BE00C7">
              <w:rPr>
                <w:rFonts w:cs="Arial"/>
                <w:lang w:eastAsia="en-NZ"/>
              </w:rPr>
              <w:t xml:space="preserve">tic, covering physical needs, assistance required with activities of daily living, psychosocial, cultural needs and aspirations, and interventions to address medical conditions in sufficient detail to guide staff. The previous shortfall (#3.2.3) has been addressed. The activity assessments include a cultural assessment which gathers information about cultural needs, values, and beliefs. Information from these assessments is used to develop the resident’s individual activity care plan. </w:t>
            </w:r>
          </w:p>
          <w:p w14:paraId="3535EBAD"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desired </w:t>
            </w:r>
            <w:r w:rsidRPr="00BE00C7">
              <w:rPr>
                <w:rFonts w:cs="Arial"/>
                <w:lang w:eastAsia="en-NZ"/>
              </w:rPr>
              <w:lastRenderedPageBreak/>
              <w:t>goals and outcomes. Residents interviewed confirmed assessments are completed according to their needs and in the privacy of their bedrooms.</w:t>
            </w:r>
          </w:p>
          <w:p w14:paraId="709F0B4F"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2081D022"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managing/diversion of behaviours. The long-term care plan includes close to normal routine that reflects a 24-hour reflection of resident’s usual pattern and behaviour management strategies to assist caregivers in management of the resident behaviours. </w:t>
            </w:r>
          </w:p>
          <w:p w14:paraId="2F1A7AB3" w14:textId="77777777" w:rsidR="00F07F6B" w:rsidRPr="00BE00C7" w:rsidRDefault="00F07F6B"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There are two GPs who visit once a week and as required. Medical documentation and records reviewed were current. There are two contracted GP’s, and one was interviewed on the day of audit. The contracted GP is also available on call after hours for the facility. A physiothera</w:t>
            </w:r>
            <w:r w:rsidRPr="00BE00C7">
              <w:rPr>
                <w:rFonts w:cs="Arial"/>
                <w:lang w:eastAsia="en-NZ"/>
              </w:rPr>
              <w:t>pist visits the facility twice weekly for a total of eight hours and on request, to review residents referred by the RNs. There is access to a continence specialist as required. A podiatrist visits regularly and a dietitian, speech language therapist, hospice, wound care nurse specialist, and medical specialists are available as required through Health New Zealand.</w:t>
            </w:r>
          </w:p>
          <w:p w14:paraId="25E1F068" w14:textId="77777777" w:rsidR="00F07F6B" w:rsidRPr="00BE00C7" w:rsidRDefault="00F07F6B"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 that most wounds were assessed in a timely manner and reviewed at appropriate intervals. Photos were taken where this was required. Evaluations were completed at each dressing change and discussed with the clinical manager and GP when necessary. Where wounds required additional specialist input, this was initiated, and a wound nurse specialist was consulted. At the time of the audit, there wer</w:t>
            </w:r>
            <w:r w:rsidRPr="00BE00C7">
              <w:rPr>
                <w:rFonts w:cs="Arial"/>
                <w:lang w:eastAsia="en-NZ"/>
              </w:rPr>
              <w:t xml:space="preserve">e nineteen active wounds, including one suspected deep tissue injury pressure injury, lesions and skin tears. The wound nurse specialist is involved with the management of the wound and has viewed the wound on </w:t>
            </w:r>
            <w:r w:rsidRPr="00BE00C7">
              <w:rPr>
                <w:rFonts w:cs="Arial"/>
                <w:lang w:eastAsia="en-NZ"/>
              </w:rPr>
              <w:lastRenderedPageBreak/>
              <w:t xml:space="preserve">site. Staff keep in regular contact with the wound nurse specialist and email progress with photos and measurements. </w:t>
            </w:r>
          </w:p>
          <w:p w14:paraId="67D09547"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and completed as per policy. The previous shortfall (#3.2.4) has been addressed. A range of monitoring charts are available for the care staff to utilise. These include (but not limited to) monthly blood pressure; weight monitoring; bowel records; repositioning chart; blood gluco</w:t>
            </w:r>
            <w:r w:rsidRPr="00BE00C7">
              <w:rPr>
                <w:rFonts w:cs="Arial"/>
                <w:lang w:eastAsia="en-NZ"/>
              </w:rPr>
              <w:t xml:space="preserve">se levels; and fluid balance monitoring. Staff interviews confirmed they are familiar with the needs of all residents in the facility and that they have access to the supplies and products they require to meet those needs. Staff receive handover at the beginning of their shift. </w:t>
            </w:r>
          </w:p>
          <w:p w14:paraId="50F28687" w14:textId="77777777" w:rsidR="00F07F6B" w:rsidRPr="00BE00C7" w:rsidRDefault="00F07F6B" w:rsidP="00F07F6B">
            <w:pPr>
              <w:pStyle w:val="OutcomeDescription"/>
              <w:spacing w:before="120" w:after="120"/>
              <w:rPr>
                <w:rFonts w:cs="Arial"/>
                <w:lang w:eastAsia="en-NZ"/>
              </w:rPr>
            </w:pPr>
          </w:p>
        </w:tc>
      </w:tr>
      <w:tr w:rsidR="002A6E80" w14:paraId="76DFFB64" w14:textId="77777777">
        <w:tc>
          <w:tcPr>
            <w:tcW w:w="0" w:type="auto"/>
          </w:tcPr>
          <w:p w14:paraId="778966FB"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3.4: My medication</w:t>
            </w:r>
          </w:p>
          <w:p w14:paraId="6D40AEE8"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582F7A2" w14:textId="77777777" w:rsidR="00F07F6B" w:rsidRPr="00BE00C7" w:rsidRDefault="00F07F6B" w:rsidP="00BE00C7">
            <w:pPr>
              <w:pStyle w:val="OutcomeDescription"/>
              <w:spacing w:before="120" w:after="120"/>
              <w:rPr>
                <w:rFonts w:cs="Arial"/>
                <w:lang w:eastAsia="en-NZ"/>
              </w:rPr>
            </w:pPr>
          </w:p>
        </w:tc>
        <w:tc>
          <w:tcPr>
            <w:tcW w:w="0" w:type="auto"/>
          </w:tcPr>
          <w:p w14:paraId="6C62FDB5"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2CABEC43" w14:textId="77777777" w:rsidR="00F07F6B" w:rsidRPr="00BE00C7" w:rsidRDefault="00F07F6B"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Staff were observed to be safely administering medications. The RNs and medication competent caregivers interviewed could describe their role regarding medication admin</w:t>
            </w:r>
            <w:r w:rsidRPr="00BE00C7">
              <w:rPr>
                <w:rFonts w:cs="Arial"/>
                <w:lang w:eastAsia="en-NZ"/>
              </w:rPr>
              <w:t xml:space="preserve">istration. The service currently uses robotics rolls for regular medication and blister packs for controlled drugs, short course and ‘as required’ medications. </w:t>
            </w:r>
          </w:p>
          <w:p w14:paraId="5A938235" w14:textId="77777777" w:rsidR="00F07F6B" w:rsidRPr="00BE00C7" w:rsidRDefault="00F07F6B" w:rsidP="00BE00C7">
            <w:pPr>
              <w:pStyle w:val="OutcomeDescription"/>
              <w:spacing w:before="120" w:after="120"/>
              <w:rPr>
                <w:rFonts w:cs="Arial"/>
                <w:lang w:eastAsia="en-NZ"/>
              </w:rPr>
            </w:pPr>
            <w:r w:rsidRPr="00BE00C7">
              <w:rPr>
                <w:rFonts w:cs="Arial"/>
                <w:lang w:eastAsia="en-NZ"/>
              </w:rPr>
              <w:t>All medications are checked on delivery against the medication chart and any discrepancies are fed back to the supplying pharmacy. Medications were appropriately stored in the three medication rooms. The medication fridge and medication room temperatures are monitored daily. All stored medications are checked weekly. Eyedrops have been dated on opening. Twelve electronic medication charts were reviewed. The medication charts reviewed identified that the GP had reviewed all residents’ medication charts three</w:t>
            </w:r>
            <w:r w:rsidRPr="00BE00C7">
              <w:rPr>
                <w:rFonts w:cs="Arial"/>
                <w:lang w:eastAsia="en-NZ"/>
              </w:rPr>
              <w:t xml:space="preserve">-monthly, and each drug chart has photo identification and allergy status identified. Indications for use were noted for pro re nata (PRN) medications on the medication charts, including over-the-counter medications and supplements. </w:t>
            </w:r>
          </w:p>
          <w:p w14:paraId="67F70A1C"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The effectiveness of PRN medications was consistently documented in the electronic medication management system and progress notes. Policies and procedures for residents self-administering are in place and this includes ensuring residents are competent, and safe storage of the medications. There was one resident self-administering medications on the day of the audit. This resident had a competency signed by the GP following three-monthly reviews and six-monthly nursing review of competency. The resident had</w:t>
            </w:r>
            <w:r w:rsidRPr="00BE00C7">
              <w:rPr>
                <w:rFonts w:cs="Arial"/>
                <w:lang w:eastAsia="en-NZ"/>
              </w:rPr>
              <w:t xml:space="preserve"> a lock box in their room. No standing orders are used. There was documented evidence in the clinical files that residents and family/whānau are updated around medication changes, including the reason for changing medications and side effects. When medication related incidents occurred, these were investigated and followed up on. </w:t>
            </w:r>
          </w:p>
          <w:p w14:paraId="0B4BD2BB" w14:textId="77777777" w:rsidR="00F07F6B" w:rsidRPr="00BE00C7" w:rsidRDefault="00F07F6B" w:rsidP="00BE00C7">
            <w:pPr>
              <w:pStyle w:val="OutcomeDescription"/>
              <w:spacing w:before="120" w:after="120"/>
              <w:rPr>
                <w:rFonts w:cs="Arial"/>
                <w:lang w:eastAsia="en-NZ"/>
              </w:rPr>
            </w:pPr>
          </w:p>
        </w:tc>
      </w:tr>
      <w:tr w:rsidR="002A6E80" w14:paraId="29B6D828" w14:textId="77777777">
        <w:tc>
          <w:tcPr>
            <w:tcW w:w="0" w:type="auto"/>
          </w:tcPr>
          <w:p w14:paraId="09BC12A8"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F247D18"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5DFAED4" w14:textId="77777777" w:rsidR="00F07F6B" w:rsidRPr="00BE00C7" w:rsidRDefault="00F07F6B" w:rsidP="00BE00C7">
            <w:pPr>
              <w:pStyle w:val="OutcomeDescription"/>
              <w:spacing w:before="120" w:after="120"/>
              <w:rPr>
                <w:rFonts w:cs="Arial"/>
                <w:lang w:eastAsia="en-NZ"/>
              </w:rPr>
            </w:pPr>
          </w:p>
        </w:tc>
        <w:tc>
          <w:tcPr>
            <w:tcW w:w="0" w:type="auto"/>
          </w:tcPr>
          <w:p w14:paraId="7142BBD3"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282C926D" w14:textId="77777777" w:rsidR="00F07F6B" w:rsidRPr="00BE00C7" w:rsidRDefault="00F07F6B"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forms and is notified of any dietary changes for residents. Dislikes and special dietary requirements are accommodated, including food allergies. The cook interviewed reported they accommodate residents’ requests. Nutritious snacks were available 24/7 in all units. There is a verified food control plan expiring on 22 September 2025. The residents and family/whānau interviewed were complimentary reg</w:t>
            </w:r>
            <w:r w:rsidRPr="00BE00C7">
              <w:rPr>
                <w:rFonts w:cs="Arial"/>
                <w:lang w:eastAsia="en-NZ"/>
              </w:rPr>
              <w:t>arding the standard of food provided.</w:t>
            </w:r>
          </w:p>
          <w:p w14:paraId="50FA3457" w14:textId="77777777" w:rsidR="00F07F6B" w:rsidRPr="00BE00C7" w:rsidRDefault="00F07F6B" w:rsidP="00BE00C7">
            <w:pPr>
              <w:pStyle w:val="OutcomeDescription"/>
              <w:spacing w:before="120" w:after="120"/>
              <w:rPr>
                <w:rFonts w:cs="Arial"/>
                <w:lang w:eastAsia="en-NZ"/>
              </w:rPr>
            </w:pPr>
          </w:p>
        </w:tc>
      </w:tr>
      <w:tr w:rsidR="002A6E80" w14:paraId="0B22599D" w14:textId="77777777">
        <w:tc>
          <w:tcPr>
            <w:tcW w:w="0" w:type="auto"/>
          </w:tcPr>
          <w:p w14:paraId="668F353F"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EFA8D00"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w:t>
            </w:r>
            <w:r w:rsidRPr="00BE00C7">
              <w:rPr>
                <w:rFonts w:cs="Arial"/>
                <w:lang w:eastAsia="en-NZ"/>
              </w:rPr>
              <w:lastRenderedPageBreak/>
              <w:t>to provide and coordinate a supported transition of care or support.</w:t>
            </w:r>
          </w:p>
          <w:p w14:paraId="0D000E0C" w14:textId="77777777" w:rsidR="00F07F6B" w:rsidRPr="00BE00C7" w:rsidRDefault="00F07F6B" w:rsidP="00BE00C7">
            <w:pPr>
              <w:pStyle w:val="OutcomeDescription"/>
              <w:spacing w:before="120" w:after="120"/>
              <w:rPr>
                <w:rFonts w:cs="Arial"/>
                <w:lang w:eastAsia="en-NZ"/>
              </w:rPr>
            </w:pPr>
          </w:p>
        </w:tc>
        <w:tc>
          <w:tcPr>
            <w:tcW w:w="0" w:type="auto"/>
          </w:tcPr>
          <w:p w14:paraId="56279C0E"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9A99AE"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w:t>
            </w:r>
          </w:p>
          <w:p w14:paraId="6E0684D2" w14:textId="77777777" w:rsidR="00F07F6B" w:rsidRPr="00BE00C7" w:rsidRDefault="00F07F6B" w:rsidP="00BE00C7">
            <w:pPr>
              <w:pStyle w:val="OutcomeDescription"/>
              <w:spacing w:before="120" w:after="120"/>
              <w:rPr>
                <w:rFonts w:cs="Arial"/>
                <w:lang w:eastAsia="en-NZ"/>
              </w:rPr>
            </w:pPr>
          </w:p>
        </w:tc>
      </w:tr>
      <w:tr w:rsidR="002A6E80" w14:paraId="67E47D6C" w14:textId="77777777">
        <w:tc>
          <w:tcPr>
            <w:tcW w:w="0" w:type="auto"/>
          </w:tcPr>
          <w:p w14:paraId="3FD4901C"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4.1: The facility</w:t>
            </w:r>
          </w:p>
          <w:p w14:paraId="58A9653A"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59D40DA" w14:textId="77777777" w:rsidR="00F07F6B" w:rsidRPr="00BE00C7" w:rsidRDefault="00F07F6B" w:rsidP="00BE00C7">
            <w:pPr>
              <w:pStyle w:val="OutcomeDescription"/>
              <w:spacing w:before="120" w:after="120"/>
              <w:rPr>
                <w:rFonts w:cs="Arial"/>
                <w:lang w:eastAsia="en-NZ"/>
              </w:rPr>
            </w:pPr>
          </w:p>
        </w:tc>
        <w:tc>
          <w:tcPr>
            <w:tcW w:w="0" w:type="auto"/>
          </w:tcPr>
          <w:p w14:paraId="2CCDE2C8"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7181E899" w14:textId="77777777" w:rsidR="00F07F6B" w:rsidRPr="00BE00C7" w:rsidRDefault="00F07F6B" w:rsidP="00BE00C7">
            <w:pPr>
              <w:pStyle w:val="OutcomeDescription"/>
              <w:spacing w:before="120" w:after="120"/>
              <w:rPr>
                <w:rFonts w:cs="Arial"/>
                <w:lang w:eastAsia="en-NZ"/>
              </w:rPr>
            </w:pPr>
            <w:r w:rsidRPr="00BE00C7">
              <w:rPr>
                <w:rFonts w:cs="Arial"/>
                <w:lang w:eastAsia="en-NZ"/>
              </w:rPr>
              <w:t>The buildings, plant, and equipment are fit for purpose at Bupa Bethesda Rest Home &amp; Hospital and comply with legislation relevant to the Health and Disability Services being provided. The environment is inclusive of people’s cultures and supports cultural practices. The building warrant of fitness is current, expiring on 1 January 2025. There is a maintenance request book for repair and maintenance requests located at the front desk. Equipment failure or issues are also recorded in the maintenance book. Th</w:t>
            </w:r>
            <w:r w:rsidRPr="00BE00C7">
              <w:rPr>
                <w:rFonts w:cs="Arial"/>
                <w:lang w:eastAsia="en-NZ"/>
              </w:rPr>
              <w:t xml:space="preserve">is is checked daily and signed off when repairs have been completed.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w:t>
            </w:r>
          </w:p>
          <w:p w14:paraId="1FC51C89" w14:textId="77777777" w:rsidR="00F07F6B" w:rsidRPr="00BE00C7" w:rsidRDefault="00F07F6B" w:rsidP="00BE00C7">
            <w:pPr>
              <w:pStyle w:val="OutcomeDescription"/>
              <w:spacing w:before="120" w:after="120"/>
              <w:rPr>
                <w:rFonts w:cs="Arial"/>
                <w:lang w:eastAsia="en-NZ"/>
              </w:rPr>
            </w:pPr>
          </w:p>
        </w:tc>
      </w:tr>
      <w:tr w:rsidR="002A6E80" w14:paraId="5C2EC78D" w14:textId="77777777">
        <w:tc>
          <w:tcPr>
            <w:tcW w:w="0" w:type="auto"/>
          </w:tcPr>
          <w:p w14:paraId="43AC8747"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CE8FF9"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B7633DA" w14:textId="77777777" w:rsidR="00F07F6B" w:rsidRPr="00BE00C7" w:rsidRDefault="00F07F6B" w:rsidP="00BE00C7">
            <w:pPr>
              <w:pStyle w:val="OutcomeDescription"/>
              <w:spacing w:before="120" w:after="120"/>
              <w:rPr>
                <w:rFonts w:cs="Arial"/>
                <w:lang w:eastAsia="en-NZ"/>
              </w:rPr>
            </w:pPr>
          </w:p>
        </w:tc>
        <w:tc>
          <w:tcPr>
            <w:tcW w:w="0" w:type="auto"/>
          </w:tcPr>
          <w:p w14:paraId="70AFF75A"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0CBD7B45" w14:textId="5152BC65" w:rsidR="00F07F6B" w:rsidRPr="00BE00C7" w:rsidRDefault="00F07F6B" w:rsidP="00BE00C7">
            <w:pPr>
              <w:pStyle w:val="OutcomeDescription"/>
              <w:spacing w:before="120" w:after="120"/>
              <w:rPr>
                <w:rFonts w:cs="Arial"/>
                <w:lang w:eastAsia="en-NZ"/>
              </w:rPr>
            </w:pPr>
            <w:r w:rsidRPr="00BE00C7">
              <w:rPr>
                <w:rFonts w:cs="Arial"/>
                <w:lang w:eastAsia="en-NZ"/>
              </w:rPr>
              <w:t>The clinical manager is responsible for the infection prevention and control programme and has been in the role for two years. There is an infection, prevention, and antimicrobial programme and procedure that has been developed by Bupa and their in-house infection control specialists, including the pandemic plan. The infection control manual outlines a comprehensive range of policies, standards and guidelines and includes defining roles, responsibilities and oversight, the infection control team and trainin</w:t>
            </w:r>
            <w:r w:rsidRPr="00BE00C7">
              <w:rPr>
                <w:rFonts w:cs="Arial"/>
                <w:lang w:eastAsia="en-NZ"/>
              </w:rPr>
              <w:t>g and education of staff. Policies and procedures are reviewed quarterly by Bupa in consultation with infection control coordinators. This links to the overarching quality programme and the infection control programme is reviewed, evaluated, and reported on annually. The pandemic plan is available for all staff and includes scenario-based training completed at intervals. Staff education includes (but is not limited to): standard precautions; isolation procedures; hand washing competencies; and donning and d</w:t>
            </w:r>
            <w:r w:rsidRPr="00BE00C7">
              <w:rPr>
                <w:rFonts w:cs="Arial"/>
                <w:lang w:eastAsia="en-NZ"/>
              </w:rPr>
              <w:t xml:space="preserve">offing personal protective equipment (PPE); however, hand washing competencies have not always been completed (link 2.3.3). </w:t>
            </w:r>
          </w:p>
        </w:tc>
      </w:tr>
      <w:tr w:rsidR="002A6E80" w14:paraId="42228130" w14:textId="77777777">
        <w:tc>
          <w:tcPr>
            <w:tcW w:w="0" w:type="auto"/>
          </w:tcPr>
          <w:p w14:paraId="09AA62FD" w14:textId="77777777" w:rsidR="00F07F6B" w:rsidRPr="00BE00C7" w:rsidRDefault="00F07F6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8A43390" w14:textId="77777777" w:rsidR="00F07F6B" w:rsidRPr="00BE00C7" w:rsidRDefault="00F07F6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E5B093B" w14:textId="77777777" w:rsidR="00F07F6B" w:rsidRPr="00BE00C7" w:rsidRDefault="00F07F6B" w:rsidP="00BE00C7">
            <w:pPr>
              <w:pStyle w:val="OutcomeDescription"/>
              <w:spacing w:before="120" w:after="120"/>
              <w:rPr>
                <w:rFonts w:cs="Arial"/>
                <w:lang w:eastAsia="en-NZ"/>
              </w:rPr>
            </w:pPr>
          </w:p>
        </w:tc>
        <w:tc>
          <w:tcPr>
            <w:tcW w:w="0" w:type="auto"/>
          </w:tcPr>
          <w:p w14:paraId="057E082F"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4F0CAE58" w14:textId="77777777" w:rsidR="00F07F6B" w:rsidRPr="00BE00C7" w:rsidRDefault="00F07F6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This data is monitored and analysed for trends, monthly and annually so improvements can be</w:t>
            </w:r>
            <w:r w:rsidRPr="00BE00C7">
              <w:rPr>
                <w:rFonts w:cs="Arial"/>
                <w:lang w:eastAsia="en-NZ"/>
              </w:rPr>
              <w:t xml:space="preserve"> made to reduce healthcare acquired infections (HAI). Benchmarking occurs with other Bupa facilities. The service incorporates ethnicity data into surveillance methods and data captured around infections. Infection control surveillance is discussed at infection control, clinical and staff meetings. </w:t>
            </w:r>
          </w:p>
          <w:p w14:paraId="34893372"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Meeting minutes and graphs are displayed for staff. Action plans are required for any infection rates of concern. Internal infection control audits are completed, with corrective actions for areas of improvement. The service receives regular notifications and alerts from Health New Zealand. </w:t>
            </w:r>
          </w:p>
          <w:p w14:paraId="0E876F37" w14:textId="77777777" w:rsidR="00F07F6B" w:rsidRPr="00BE00C7" w:rsidRDefault="00F07F6B" w:rsidP="00BE00C7">
            <w:pPr>
              <w:pStyle w:val="OutcomeDescription"/>
              <w:spacing w:before="120" w:after="120"/>
              <w:rPr>
                <w:rFonts w:cs="Arial"/>
                <w:lang w:eastAsia="en-NZ"/>
              </w:rPr>
            </w:pPr>
            <w:r w:rsidRPr="00BE00C7">
              <w:rPr>
                <w:rFonts w:cs="Arial"/>
                <w:lang w:eastAsia="en-NZ"/>
              </w:rPr>
              <w:t>There have been two Norovirus, one gastroenteritis, one scabies, and three Covid-19 outbreaks since the previous audit. These were well documented, managed, and reported appropriately.</w:t>
            </w:r>
          </w:p>
          <w:p w14:paraId="7CC23970" w14:textId="77777777" w:rsidR="00F07F6B" w:rsidRPr="00BE00C7" w:rsidRDefault="00F07F6B" w:rsidP="00BE00C7">
            <w:pPr>
              <w:pStyle w:val="OutcomeDescription"/>
              <w:spacing w:before="120" w:after="120"/>
              <w:rPr>
                <w:rFonts w:cs="Arial"/>
                <w:lang w:eastAsia="en-NZ"/>
              </w:rPr>
            </w:pPr>
          </w:p>
        </w:tc>
      </w:tr>
      <w:tr w:rsidR="002A6E80" w14:paraId="436455E1" w14:textId="77777777">
        <w:tc>
          <w:tcPr>
            <w:tcW w:w="0" w:type="auto"/>
          </w:tcPr>
          <w:p w14:paraId="40C2DFE3" w14:textId="77777777" w:rsidR="00F07F6B" w:rsidRPr="00BE00C7" w:rsidRDefault="00F07F6B" w:rsidP="00BE00C7">
            <w:pPr>
              <w:pStyle w:val="OutcomeDescription"/>
              <w:spacing w:before="120" w:after="120"/>
              <w:rPr>
                <w:rFonts w:cs="Arial"/>
                <w:lang w:eastAsia="en-NZ"/>
              </w:rPr>
            </w:pPr>
            <w:r w:rsidRPr="00BE00C7">
              <w:rPr>
                <w:rFonts w:cs="Arial"/>
                <w:lang w:eastAsia="en-NZ"/>
              </w:rPr>
              <w:t>Subsection 6.1: A process of restraint</w:t>
            </w:r>
          </w:p>
          <w:p w14:paraId="0F13CBF4"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58403DF" w14:textId="77777777" w:rsidR="00F07F6B" w:rsidRPr="00BE00C7" w:rsidRDefault="00F07F6B" w:rsidP="00BE00C7">
            <w:pPr>
              <w:pStyle w:val="OutcomeDescription"/>
              <w:spacing w:before="120" w:after="120"/>
              <w:rPr>
                <w:rFonts w:cs="Arial"/>
                <w:lang w:eastAsia="en-NZ"/>
              </w:rPr>
            </w:pPr>
          </w:p>
        </w:tc>
        <w:tc>
          <w:tcPr>
            <w:tcW w:w="0" w:type="auto"/>
          </w:tcPr>
          <w:p w14:paraId="34952647" w14:textId="77777777" w:rsidR="00F07F6B" w:rsidRPr="00BE00C7" w:rsidRDefault="00F07F6B" w:rsidP="00BE00C7">
            <w:pPr>
              <w:pStyle w:val="OutcomeDescription"/>
              <w:spacing w:before="120" w:after="120"/>
              <w:rPr>
                <w:rFonts w:cs="Arial"/>
                <w:lang w:eastAsia="en-NZ"/>
              </w:rPr>
            </w:pPr>
            <w:r w:rsidRPr="00BE00C7">
              <w:rPr>
                <w:rFonts w:cs="Arial"/>
                <w:lang w:eastAsia="en-NZ"/>
              </w:rPr>
              <w:t>FA</w:t>
            </w:r>
          </w:p>
        </w:tc>
        <w:tc>
          <w:tcPr>
            <w:tcW w:w="0" w:type="auto"/>
          </w:tcPr>
          <w:p w14:paraId="58EA4855" w14:textId="77777777" w:rsidR="00F07F6B" w:rsidRPr="00BE00C7" w:rsidRDefault="00F07F6B" w:rsidP="00BE00C7">
            <w:pPr>
              <w:pStyle w:val="OutcomeDescription"/>
              <w:spacing w:before="120" w:after="120"/>
              <w:rPr>
                <w:rFonts w:cs="Arial"/>
                <w:lang w:eastAsia="en-NZ"/>
              </w:rPr>
            </w:pPr>
            <w:r w:rsidRPr="00BE00C7">
              <w:rPr>
                <w:rFonts w:cs="Arial"/>
                <w:lang w:eastAsia="en-NZ"/>
              </w:rPr>
              <w:t>Maintaining a restraint-free environment is the aim of the service. Policies and procedures meet the requirements of the standards. The regional restraint group is responsible for the Bupa restraint elimination strategy and for monitoring restraint use in the organisation. Restraint is discussed at the clinical governance and Board level. At the time of the audit there were no residents using restraints. When restraint is used, this is a last resort when all alternatives have been explored. The designated r</w:t>
            </w:r>
            <w:r w:rsidRPr="00BE00C7">
              <w:rPr>
                <w:rFonts w:cs="Arial"/>
                <w:lang w:eastAsia="en-NZ"/>
              </w:rPr>
              <w:t xml:space="preserve">estraint coordinator is the clinical manager who is responsible for the coordination of the approval of the use of restraints and the restraint processes. Training for all staff occurs at orientation and annually, as sighted in the training records. Staff have been trained in the least restrictive practice, safe restraint practice, alternative cultural-specific interventions and de-escalation techniques. Restraint competencies are completed on orientation and annually for all staff (link 2.3.3). </w:t>
            </w:r>
          </w:p>
          <w:p w14:paraId="2EE5DD37" w14:textId="77777777" w:rsidR="00F07F6B" w:rsidRPr="00BE00C7" w:rsidRDefault="00F07F6B" w:rsidP="00BE00C7">
            <w:pPr>
              <w:pStyle w:val="OutcomeDescription"/>
              <w:spacing w:before="120" w:after="120"/>
              <w:rPr>
                <w:rFonts w:cs="Arial"/>
                <w:lang w:eastAsia="en-NZ"/>
              </w:rPr>
            </w:pPr>
          </w:p>
        </w:tc>
      </w:tr>
    </w:tbl>
    <w:p w14:paraId="7B3F7CD7" w14:textId="77777777" w:rsidR="00F07F6B" w:rsidRPr="00BE00C7" w:rsidRDefault="00F07F6B" w:rsidP="00BE00C7">
      <w:pPr>
        <w:pStyle w:val="OutcomeDescription"/>
        <w:spacing w:before="120" w:after="120"/>
        <w:rPr>
          <w:rFonts w:cs="Arial"/>
          <w:lang w:eastAsia="en-NZ"/>
        </w:rPr>
      </w:pPr>
      <w:bookmarkStart w:id="56" w:name="AuditSummaryAttainment"/>
      <w:bookmarkEnd w:id="56"/>
    </w:p>
    <w:p w14:paraId="4DA537B8" w14:textId="77777777" w:rsidR="00F07F6B" w:rsidRDefault="00F07F6B">
      <w:pPr>
        <w:pStyle w:val="Heading1"/>
        <w:rPr>
          <w:rFonts w:cs="Arial"/>
        </w:rPr>
      </w:pPr>
      <w:r>
        <w:rPr>
          <w:rFonts w:cs="Arial"/>
        </w:rPr>
        <w:lastRenderedPageBreak/>
        <w:t>Specific results for criterion where corrective actions are required</w:t>
      </w:r>
    </w:p>
    <w:p w14:paraId="5657722C" w14:textId="77777777" w:rsidR="00F07F6B" w:rsidRDefault="00F07F6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3C3E423" w14:textId="77777777" w:rsidR="00F07F6B" w:rsidRDefault="00F07F6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D1410F8" w14:textId="77777777" w:rsidR="00F07F6B" w:rsidRDefault="00F07F6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1334"/>
        <w:gridCol w:w="4756"/>
        <w:gridCol w:w="2930"/>
        <w:gridCol w:w="2076"/>
      </w:tblGrid>
      <w:tr w:rsidR="002A6E80" w14:paraId="52899016" w14:textId="77777777">
        <w:tc>
          <w:tcPr>
            <w:tcW w:w="0" w:type="auto"/>
          </w:tcPr>
          <w:p w14:paraId="45DBD67B" w14:textId="77777777" w:rsidR="00F07F6B" w:rsidRPr="00BE00C7" w:rsidRDefault="00F07F6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DC0051A" w14:textId="77777777" w:rsidR="00F07F6B" w:rsidRPr="00BE00C7" w:rsidRDefault="00F07F6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A9076CE" w14:textId="77777777" w:rsidR="00F07F6B" w:rsidRPr="00BE00C7" w:rsidRDefault="00F07F6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32ABE2A" w14:textId="77777777" w:rsidR="00F07F6B" w:rsidRPr="00BE00C7" w:rsidRDefault="00F07F6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9CE185D" w14:textId="77777777" w:rsidR="00F07F6B" w:rsidRPr="00BE00C7" w:rsidRDefault="00F07F6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A6E80" w14:paraId="71F65D19" w14:textId="77777777">
        <w:tc>
          <w:tcPr>
            <w:tcW w:w="0" w:type="auto"/>
          </w:tcPr>
          <w:p w14:paraId="02696FD7" w14:textId="77777777" w:rsidR="00F07F6B" w:rsidRPr="00BE00C7" w:rsidRDefault="00F07F6B" w:rsidP="00BE00C7">
            <w:pPr>
              <w:pStyle w:val="OutcomeDescription"/>
              <w:spacing w:before="120" w:after="120"/>
              <w:rPr>
                <w:rFonts w:cs="Arial"/>
                <w:lang w:eastAsia="en-NZ"/>
              </w:rPr>
            </w:pPr>
            <w:r w:rsidRPr="00BE00C7">
              <w:rPr>
                <w:rFonts w:cs="Arial"/>
                <w:lang w:eastAsia="en-NZ"/>
              </w:rPr>
              <w:t>Criterion 2.3.3</w:t>
            </w:r>
          </w:p>
          <w:p w14:paraId="21F44866" w14:textId="77777777" w:rsidR="00F07F6B" w:rsidRPr="00BE00C7" w:rsidRDefault="00F07F6B"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implement systems to determine and develop the competencies of health care and support workers to meet the needs of people equitably.</w:t>
            </w:r>
          </w:p>
        </w:tc>
        <w:tc>
          <w:tcPr>
            <w:tcW w:w="0" w:type="auto"/>
          </w:tcPr>
          <w:p w14:paraId="338A3ADD" w14:textId="77777777" w:rsidR="00F07F6B" w:rsidRPr="00BE00C7" w:rsidRDefault="00F07F6B" w:rsidP="00BE00C7">
            <w:pPr>
              <w:pStyle w:val="OutcomeDescription"/>
              <w:spacing w:before="120" w:after="120"/>
              <w:rPr>
                <w:rFonts w:cs="Arial"/>
                <w:lang w:eastAsia="en-NZ"/>
              </w:rPr>
            </w:pPr>
            <w:r w:rsidRPr="00BE00C7">
              <w:rPr>
                <w:rFonts w:cs="Arial"/>
                <w:lang w:eastAsia="en-NZ"/>
              </w:rPr>
              <w:t>PA Low</w:t>
            </w:r>
          </w:p>
        </w:tc>
        <w:tc>
          <w:tcPr>
            <w:tcW w:w="0" w:type="auto"/>
          </w:tcPr>
          <w:p w14:paraId="5900F78A" w14:textId="77777777" w:rsidR="00F07F6B" w:rsidRPr="00BE00C7" w:rsidRDefault="00F07F6B" w:rsidP="00BE00C7">
            <w:pPr>
              <w:pStyle w:val="OutcomeDescription"/>
              <w:spacing w:before="120" w:after="120"/>
              <w:rPr>
                <w:rFonts w:cs="Arial"/>
                <w:lang w:eastAsia="en-NZ"/>
              </w:rPr>
            </w:pPr>
            <w:r w:rsidRPr="00BE00C7">
              <w:rPr>
                <w:rFonts w:cs="Arial"/>
                <w:lang w:eastAsia="en-NZ"/>
              </w:rPr>
              <w:t>Annual competencies include (but are not limited to) restraint, hand hygiene, moving and handling, and correct use of personal protective equipment. Caregivers who have completed NZQA level 4, undertake many of the same competencies as the RN staff (eg, medication administration, controlled drug administration, nebuliser, blood sugar levels and insulin administration, oxygen administration, and wound management). Additional RN specific competencies include subcutaneous fluids, syringe driver, and interRAI a</w:t>
            </w:r>
            <w:r w:rsidRPr="00BE00C7">
              <w:rPr>
                <w:rFonts w:cs="Arial"/>
                <w:lang w:eastAsia="en-NZ"/>
              </w:rPr>
              <w:t xml:space="preserve">ssessment competency; however, not all required staff have completed competencies as scheduled. </w:t>
            </w:r>
          </w:p>
          <w:p w14:paraId="15255F5F" w14:textId="77777777" w:rsidR="00F07F6B" w:rsidRPr="00BE00C7" w:rsidRDefault="00F07F6B" w:rsidP="00BE00C7">
            <w:pPr>
              <w:pStyle w:val="OutcomeDescription"/>
              <w:spacing w:before="120" w:after="120"/>
              <w:rPr>
                <w:rFonts w:cs="Arial"/>
                <w:lang w:eastAsia="en-NZ"/>
              </w:rPr>
            </w:pPr>
          </w:p>
        </w:tc>
        <w:tc>
          <w:tcPr>
            <w:tcW w:w="0" w:type="auto"/>
          </w:tcPr>
          <w:p w14:paraId="55C88B1D" w14:textId="77777777" w:rsidR="00F07F6B" w:rsidRPr="00BE00C7" w:rsidRDefault="00F07F6B" w:rsidP="00BE00C7">
            <w:pPr>
              <w:pStyle w:val="OutcomeDescription"/>
              <w:spacing w:before="120" w:after="120"/>
              <w:rPr>
                <w:rFonts w:cs="Arial"/>
                <w:lang w:eastAsia="en-NZ"/>
              </w:rPr>
            </w:pPr>
            <w:r w:rsidRPr="00BE00C7">
              <w:rPr>
                <w:rFonts w:cs="Arial"/>
                <w:lang w:eastAsia="en-NZ"/>
              </w:rPr>
              <w:t>At the time of the audit, there were gaps in the completion of annual competencies for RNs and caregivers in relation to restraint, hand hygiene, and moving and handling.</w:t>
            </w:r>
          </w:p>
          <w:p w14:paraId="098DBBF1" w14:textId="77777777" w:rsidR="00F07F6B" w:rsidRPr="00BE00C7" w:rsidRDefault="00F07F6B" w:rsidP="00BE00C7">
            <w:pPr>
              <w:pStyle w:val="OutcomeDescription"/>
              <w:spacing w:before="120" w:after="120"/>
              <w:rPr>
                <w:rFonts w:cs="Arial"/>
                <w:lang w:eastAsia="en-NZ"/>
              </w:rPr>
            </w:pPr>
          </w:p>
        </w:tc>
        <w:tc>
          <w:tcPr>
            <w:tcW w:w="0" w:type="auto"/>
          </w:tcPr>
          <w:p w14:paraId="1D6FCF50" w14:textId="77777777" w:rsidR="00F07F6B" w:rsidRPr="00BE00C7" w:rsidRDefault="00F07F6B" w:rsidP="00BE00C7">
            <w:pPr>
              <w:pStyle w:val="OutcomeDescription"/>
              <w:spacing w:before="120" w:after="120"/>
              <w:rPr>
                <w:rFonts w:cs="Arial"/>
                <w:lang w:eastAsia="en-NZ"/>
              </w:rPr>
            </w:pPr>
            <w:r w:rsidRPr="00BE00C7">
              <w:rPr>
                <w:rFonts w:cs="Arial"/>
                <w:lang w:eastAsia="en-NZ"/>
              </w:rPr>
              <w:t>Ensure that all RNs and caregivers’ complete annual competencies as required.</w:t>
            </w:r>
          </w:p>
          <w:p w14:paraId="657103D5" w14:textId="77777777" w:rsidR="00F07F6B" w:rsidRPr="00BE00C7" w:rsidRDefault="00F07F6B" w:rsidP="00BE00C7">
            <w:pPr>
              <w:pStyle w:val="OutcomeDescription"/>
              <w:spacing w:before="120" w:after="120"/>
              <w:rPr>
                <w:rFonts w:cs="Arial"/>
                <w:lang w:eastAsia="en-NZ"/>
              </w:rPr>
            </w:pPr>
          </w:p>
          <w:p w14:paraId="3BACDF11" w14:textId="77777777" w:rsidR="00F07F6B" w:rsidRPr="00BE00C7" w:rsidRDefault="00F07F6B" w:rsidP="00BE00C7">
            <w:pPr>
              <w:pStyle w:val="OutcomeDescription"/>
              <w:spacing w:before="120" w:after="120"/>
              <w:rPr>
                <w:rFonts w:cs="Arial"/>
                <w:lang w:eastAsia="en-NZ"/>
              </w:rPr>
            </w:pPr>
            <w:r w:rsidRPr="00BE00C7">
              <w:rPr>
                <w:rFonts w:cs="Arial"/>
                <w:lang w:eastAsia="en-NZ"/>
              </w:rPr>
              <w:t>90 days</w:t>
            </w:r>
          </w:p>
        </w:tc>
      </w:tr>
    </w:tbl>
    <w:p w14:paraId="135E84B1" w14:textId="77777777" w:rsidR="00F07F6B" w:rsidRPr="00BE00C7" w:rsidRDefault="00F07F6B" w:rsidP="00BE00C7">
      <w:pPr>
        <w:pStyle w:val="OutcomeDescription"/>
        <w:spacing w:before="120" w:after="120"/>
        <w:rPr>
          <w:rFonts w:cs="Arial"/>
          <w:lang w:eastAsia="en-NZ"/>
        </w:rPr>
      </w:pPr>
      <w:bookmarkStart w:id="57" w:name="AuditSummaryCAMCriterion"/>
      <w:bookmarkEnd w:id="57"/>
    </w:p>
    <w:p w14:paraId="2C15307A" w14:textId="77777777" w:rsidR="00F07F6B" w:rsidRDefault="00F07F6B">
      <w:pPr>
        <w:pStyle w:val="Heading1"/>
        <w:rPr>
          <w:rFonts w:cs="Arial"/>
        </w:rPr>
      </w:pPr>
      <w:r>
        <w:rPr>
          <w:rFonts w:cs="Arial"/>
        </w:rPr>
        <w:lastRenderedPageBreak/>
        <w:t>Specific results for criterion where a continuous improvement has been recorded</w:t>
      </w:r>
    </w:p>
    <w:p w14:paraId="43F1784F" w14:textId="77777777" w:rsidR="00F07F6B" w:rsidRDefault="00F07F6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1A14D30" w14:textId="77777777" w:rsidR="00F07F6B" w:rsidRDefault="00F07F6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41ADFC9" w14:textId="77777777" w:rsidR="00F07F6B" w:rsidRDefault="00F07F6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A6E80" w14:paraId="0D38E2DF" w14:textId="77777777">
        <w:tc>
          <w:tcPr>
            <w:tcW w:w="0" w:type="auto"/>
          </w:tcPr>
          <w:p w14:paraId="56080872" w14:textId="77777777" w:rsidR="00F07F6B" w:rsidRPr="00BE00C7" w:rsidRDefault="00F07F6B" w:rsidP="00BE00C7">
            <w:pPr>
              <w:pStyle w:val="OutcomeDescription"/>
              <w:spacing w:before="120" w:after="120"/>
              <w:rPr>
                <w:rFonts w:cs="Arial"/>
                <w:lang w:eastAsia="en-NZ"/>
              </w:rPr>
            </w:pPr>
            <w:r w:rsidRPr="00BE00C7">
              <w:rPr>
                <w:rFonts w:cs="Arial"/>
                <w:lang w:eastAsia="en-NZ"/>
              </w:rPr>
              <w:t>No data to display</w:t>
            </w:r>
          </w:p>
        </w:tc>
      </w:tr>
    </w:tbl>
    <w:p w14:paraId="5A64363D" w14:textId="77777777" w:rsidR="00F07F6B" w:rsidRPr="00BE00C7" w:rsidRDefault="00F07F6B" w:rsidP="00BE00C7">
      <w:pPr>
        <w:pStyle w:val="OutcomeDescription"/>
        <w:spacing w:before="120" w:after="120"/>
        <w:rPr>
          <w:rFonts w:cs="Arial"/>
          <w:lang w:eastAsia="en-NZ"/>
        </w:rPr>
      </w:pPr>
      <w:bookmarkStart w:id="58" w:name="AuditSummaryCAMImprovment"/>
      <w:bookmarkEnd w:id="58"/>
    </w:p>
    <w:p w14:paraId="5181A8F6" w14:textId="77777777" w:rsidR="00F07F6B" w:rsidRDefault="00F07F6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4B8C" w14:textId="77777777" w:rsidR="00F07F6B" w:rsidRDefault="00F07F6B">
      <w:r>
        <w:separator/>
      </w:r>
    </w:p>
  </w:endnote>
  <w:endnote w:type="continuationSeparator" w:id="0">
    <w:p w14:paraId="41223DEF" w14:textId="77777777" w:rsidR="00F07F6B" w:rsidRDefault="00F0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9C0B" w14:textId="77777777" w:rsidR="00F07F6B" w:rsidRDefault="00F07F6B">
    <w:pPr>
      <w:pStyle w:val="Footer"/>
    </w:pPr>
  </w:p>
  <w:p w14:paraId="14B94264" w14:textId="77777777" w:rsidR="00F07F6B" w:rsidRDefault="00F07F6B"/>
  <w:p w14:paraId="2234BB7D" w14:textId="77777777" w:rsidR="00F07F6B" w:rsidRDefault="00F07F6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93CF" w14:textId="77777777" w:rsidR="00F07F6B" w:rsidRPr="000B00BC" w:rsidRDefault="00F07F6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Bethesda Rest Home &amp; Hospital</w:t>
    </w:r>
    <w:bookmarkEnd w:id="59"/>
    <w:r>
      <w:rPr>
        <w:rFonts w:cs="Arial"/>
        <w:sz w:val="16"/>
        <w:szCs w:val="20"/>
      </w:rPr>
      <w:tab/>
      <w:t xml:space="preserve">Date of Audit: </w:t>
    </w:r>
    <w:bookmarkStart w:id="60" w:name="AuditStartDate1"/>
    <w:r>
      <w:rPr>
        <w:rFonts w:cs="Arial"/>
        <w:sz w:val="16"/>
        <w:szCs w:val="20"/>
      </w:rPr>
      <w:t>26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D016C7A" w14:textId="77777777" w:rsidR="00F07F6B" w:rsidRDefault="00F07F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729" w14:textId="77777777" w:rsidR="00F07F6B" w:rsidRDefault="00F0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C74C" w14:textId="77777777" w:rsidR="00F07F6B" w:rsidRDefault="00F07F6B">
      <w:r>
        <w:separator/>
      </w:r>
    </w:p>
  </w:footnote>
  <w:footnote w:type="continuationSeparator" w:id="0">
    <w:p w14:paraId="7E277AD3" w14:textId="77777777" w:rsidR="00F07F6B" w:rsidRDefault="00F0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4982" w14:textId="77777777" w:rsidR="00F07F6B" w:rsidRDefault="00F07F6B">
    <w:pPr>
      <w:pStyle w:val="Header"/>
    </w:pPr>
  </w:p>
  <w:p w14:paraId="492DC9CE" w14:textId="77777777" w:rsidR="00F07F6B" w:rsidRDefault="00F07F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8EF3" w14:textId="77777777" w:rsidR="00F07F6B" w:rsidRDefault="00F07F6B">
    <w:pPr>
      <w:pStyle w:val="Header"/>
    </w:pPr>
  </w:p>
  <w:p w14:paraId="52C2C9EE" w14:textId="77777777" w:rsidR="00F07F6B" w:rsidRDefault="00F07F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1EA3" w14:textId="77777777" w:rsidR="00F07F6B" w:rsidRDefault="00F0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606F696">
      <w:start w:val="1"/>
      <w:numFmt w:val="decimal"/>
      <w:lvlText w:val="%1."/>
      <w:lvlJc w:val="left"/>
      <w:pPr>
        <w:ind w:left="360" w:hanging="360"/>
      </w:pPr>
    </w:lvl>
    <w:lvl w:ilvl="1" w:tplc="6C72DD32" w:tentative="1">
      <w:start w:val="1"/>
      <w:numFmt w:val="lowerLetter"/>
      <w:lvlText w:val="%2."/>
      <w:lvlJc w:val="left"/>
      <w:pPr>
        <w:ind w:left="1080" w:hanging="360"/>
      </w:pPr>
    </w:lvl>
    <w:lvl w:ilvl="2" w:tplc="57B05E28" w:tentative="1">
      <w:start w:val="1"/>
      <w:numFmt w:val="lowerRoman"/>
      <w:lvlText w:val="%3."/>
      <w:lvlJc w:val="right"/>
      <w:pPr>
        <w:ind w:left="1800" w:hanging="180"/>
      </w:pPr>
    </w:lvl>
    <w:lvl w:ilvl="3" w:tplc="851CE242" w:tentative="1">
      <w:start w:val="1"/>
      <w:numFmt w:val="decimal"/>
      <w:lvlText w:val="%4."/>
      <w:lvlJc w:val="left"/>
      <w:pPr>
        <w:ind w:left="2520" w:hanging="360"/>
      </w:pPr>
    </w:lvl>
    <w:lvl w:ilvl="4" w:tplc="AD3A3850" w:tentative="1">
      <w:start w:val="1"/>
      <w:numFmt w:val="lowerLetter"/>
      <w:lvlText w:val="%5."/>
      <w:lvlJc w:val="left"/>
      <w:pPr>
        <w:ind w:left="3240" w:hanging="360"/>
      </w:pPr>
    </w:lvl>
    <w:lvl w:ilvl="5" w:tplc="C6AE7DBC" w:tentative="1">
      <w:start w:val="1"/>
      <w:numFmt w:val="lowerRoman"/>
      <w:lvlText w:val="%6."/>
      <w:lvlJc w:val="right"/>
      <w:pPr>
        <w:ind w:left="3960" w:hanging="180"/>
      </w:pPr>
    </w:lvl>
    <w:lvl w:ilvl="6" w:tplc="19C0358E" w:tentative="1">
      <w:start w:val="1"/>
      <w:numFmt w:val="decimal"/>
      <w:lvlText w:val="%7."/>
      <w:lvlJc w:val="left"/>
      <w:pPr>
        <w:ind w:left="4680" w:hanging="360"/>
      </w:pPr>
    </w:lvl>
    <w:lvl w:ilvl="7" w:tplc="174E5F9C" w:tentative="1">
      <w:start w:val="1"/>
      <w:numFmt w:val="lowerLetter"/>
      <w:lvlText w:val="%8."/>
      <w:lvlJc w:val="left"/>
      <w:pPr>
        <w:ind w:left="5400" w:hanging="360"/>
      </w:pPr>
    </w:lvl>
    <w:lvl w:ilvl="8" w:tplc="6DB66F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256AF42">
      <w:start w:val="1"/>
      <w:numFmt w:val="bullet"/>
      <w:lvlText w:val=""/>
      <w:lvlJc w:val="left"/>
      <w:pPr>
        <w:ind w:left="720" w:hanging="360"/>
      </w:pPr>
      <w:rPr>
        <w:rFonts w:ascii="Symbol" w:hAnsi="Symbol" w:hint="default"/>
      </w:rPr>
    </w:lvl>
    <w:lvl w:ilvl="1" w:tplc="F1DA01CE" w:tentative="1">
      <w:start w:val="1"/>
      <w:numFmt w:val="bullet"/>
      <w:lvlText w:val="o"/>
      <w:lvlJc w:val="left"/>
      <w:pPr>
        <w:ind w:left="1440" w:hanging="360"/>
      </w:pPr>
      <w:rPr>
        <w:rFonts w:ascii="Courier New" w:hAnsi="Courier New" w:cs="Courier New" w:hint="default"/>
      </w:rPr>
    </w:lvl>
    <w:lvl w:ilvl="2" w:tplc="BD54CDCE" w:tentative="1">
      <w:start w:val="1"/>
      <w:numFmt w:val="bullet"/>
      <w:lvlText w:val=""/>
      <w:lvlJc w:val="left"/>
      <w:pPr>
        <w:ind w:left="2160" w:hanging="360"/>
      </w:pPr>
      <w:rPr>
        <w:rFonts w:ascii="Wingdings" w:hAnsi="Wingdings" w:hint="default"/>
      </w:rPr>
    </w:lvl>
    <w:lvl w:ilvl="3" w:tplc="DC80D554" w:tentative="1">
      <w:start w:val="1"/>
      <w:numFmt w:val="bullet"/>
      <w:lvlText w:val=""/>
      <w:lvlJc w:val="left"/>
      <w:pPr>
        <w:ind w:left="2880" w:hanging="360"/>
      </w:pPr>
      <w:rPr>
        <w:rFonts w:ascii="Symbol" w:hAnsi="Symbol" w:hint="default"/>
      </w:rPr>
    </w:lvl>
    <w:lvl w:ilvl="4" w:tplc="72220FB6" w:tentative="1">
      <w:start w:val="1"/>
      <w:numFmt w:val="bullet"/>
      <w:lvlText w:val="o"/>
      <w:lvlJc w:val="left"/>
      <w:pPr>
        <w:ind w:left="3600" w:hanging="360"/>
      </w:pPr>
      <w:rPr>
        <w:rFonts w:ascii="Courier New" w:hAnsi="Courier New" w:cs="Courier New" w:hint="default"/>
      </w:rPr>
    </w:lvl>
    <w:lvl w:ilvl="5" w:tplc="FC54E2CA" w:tentative="1">
      <w:start w:val="1"/>
      <w:numFmt w:val="bullet"/>
      <w:lvlText w:val=""/>
      <w:lvlJc w:val="left"/>
      <w:pPr>
        <w:ind w:left="4320" w:hanging="360"/>
      </w:pPr>
      <w:rPr>
        <w:rFonts w:ascii="Wingdings" w:hAnsi="Wingdings" w:hint="default"/>
      </w:rPr>
    </w:lvl>
    <w:lvl w:ilvl="6" w:tplc="0B32F748" w:tentative="1">
      <w:start w:val="1"/>
      <w:numFmt w:val="bullet"/>
      <w:lvlText w:val=""/>
      <w:lvlJc w:val="left"/>
      <w:pPr>
        <w:ind w:left="5040" w:hanging="360"/>
      </w:pPr>
      <w:rPr>
        <w:rFonts w:ascii="Symbol" w:hAnsi="Symbol" w:hint="default"/>
      </w:rPr>
    </w:lvl>
    <w:lvl w:ilvl="7" w:tplc="2F38F950" w:tentative="1">
      <w:start w:val="1"/>
      <w:numFmt w:val="bullet"/>
      <w:lvlText w:val="o"/>
      <w:lvlJc w:val="left"/>
      <w:pPr>
        <w:ind w:left="5760" w:hanging="360"/>
      </w:pPr>
      <w:rPr>
        <w:rFonts w:ascii="Courier New" w:hAnsi="Courier New" w:cs="Courier New" w:hint="default"/>
      </w:rPr>
    </w:lvl>
    <w:lvl w:ilvl="8" w:tplc="FB42C40E" w:tentative="1">
      <w:start w:val="1"/>
      <w:numFmt w:val="bullet"/>
      <w:lvlText w:val=""/>
      <w:lvlJc w:val="left"/>
      <w:pPr>
        <w:ind w:left="6480" w:hanging="360"/>
      </w:pPr>
      <w:rPr>
        <w:rFonts w:ascii="Wingdings" w:hAnsi="Wingdings" w:hint="default"/>
      </w:rPr>
    </w:lvl>
  </w:abstractNum>
  <w:num w:numId="1" w16cid:durableId="1970088732">
    <w:abstractNumId w:val="1"/>
  </w:num>
  <w:num w:numId="2" w16cid:durableId="55465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80"/>
    <w:rsid w:val="000E50AE"/>
    <w:rsid w:val="002A6E80"/>
    <w:rsid w:val="00F07F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A62B"/>
  <w15:docId w15:val="{48D00D6F-CF9C-4BDD-95BF-9A57B65A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7741</Words>
  <Characters>44126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2025-01-21T01:53:00Z</dcterms:created>
  <dcterms:modified xsi:type="dcterms:W3CDTF">2025-01-21T01:54:00Z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